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2420" w:rsidRDefault="000A2420" w:rsidP="000A2420">
      <w:pPr>
        <w:autoSpaceDE w:val="0"/>
        <w:autoSpaceDN w:val="0"/>
        <w:adjustRightInd w:val="0"/>
        <w:spacing w:line="560" w:lineRule="atLeast"/>
        <w:rPr>
          <w:rFonts w:ascii="Helvetica" w:hAnsi="Helvetica" w:cs="Helvetica"/>
          <w:b/>
          <w:bCs/>
          <w:color w:val="596772"/>
          <w:sz w:val="42"/>
          <w:szCs w:val="42"/>
        </w:rPr>
      </w:pPr>
      <w:r>
        <w:rPr>
          <w:rFonts w:ascii="Helvetica" w:hAnsi="Helvetica" w:cs="Helvetica"/>
          <w:b/>
          <w:bCs/>
          <w:color w:val="596772"/>
          <w:sz w:val="42"/>
          <w:szCs w:val="42"/>
        </w:rPr>
        <w:t> </w:t>
      </w:r>
      <w:r w:rsidRPr="000A2420">
        <w:rPr>
          <w:rFonts w:ascii="Helvetica" w:hAnsi="Helvetica" w:cs="Helvetica"/>
          <w:color w:val="596772"/>
          <w:sz w:val="32"/>
          <w:szCs w:val="32"/>
        </w:rPr>
        <w:t>Assessment Plan for Nutrition and Integrative Physiology 10-2019</w:t>
      </w:r>
      <w:r>
        <w:rPr>
          <w:rFonts w:ascii="Helvetica" w:hAnsi="Helvetica" w:cs="Helvetica"/>
          <w:b/>
          <w:bCs/>
          <w:color w:val="596772"/>
          <w:sz w:val="42"/>
          <w:szCs w:val="42"/>
        </w:rPr>
        <w:t xml:space="preserve"> </w:t>
      </w:r>
    </w:p>
    <w:tbl>
      <w:tblPr>
        <w:tblW w:w="9558" w:type="dxa"/>
        <w:tblInd w:w="-108" w:type="dxa"/>
        <w:tblBorders>
          <w:top w:val="nil"/>
          <w:left w:val="nil"/>
          <w:right w:val="nil"/>
        </w:tblBorders>
        <w:tblLayout w:type="fixed"/>
        <w:tblLook w:val="0000" w:firstRow="0" w:lastRow="0" w:firstColumn="0" w:lastColumn="0" w:noHBand="0" w:noVBand="0"/>
      </w:tblPr>
      <w:tblGrid>
        <w:gridCol w:w="2656"/>
        <w:gridCol w:w="6902"/>
      </w:tblGrid>
      <w:tr w:rsidR="000A2420" w:rsidRPr="000A2420" w:rsidTr="000A2420">
        <w:tblPrEx>
          <w:tblCellMar>
            <w:top w:w="0" w:type="dxa"/>
            <w:bottom w:w="0" w:type="dxa"/>
          </w:tblCellMar>
        </w:tblPrEx>
        <w:tc>
          <w:tcPr>
            <w:tcW w:w="2656"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t xml:space="preserve">Program:: </w:t>
            </w:r>
          </w:p>
        </w:tc>
        <w:tc>
          <w:tcPr>
            <w:tcW w:w="6902"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xml:space="preserve">PhD in Nutrition and Integrative Physiology </w:t>
            </w:r>
          </w:p>
        </w:tc>
      </w:tr>
      <w:tr w:rsidR="000A2420" w:rsidRPr="000A2420" w:rsidTr="000A2420">
        <w:tblPrEx>
          <w:tblBorders>
            <w:top w:val="none" w:sz="0" w:space="0" w:color="auto"/>
          </w:tblBorders>
          <w:tblCellMar>
            <w:top w:w="0" w:type="dxa"/>
            <w:bottom w:w="0" w:type="dxa"/>
          </w:tblCellMar>
        </w:tblPrEx>
        <w:tc>
          <w:tcPr>
            <w:tcW w:w="2656" w:type="dxa"/>
            <w:shd w:val="clear" w:color="auto" w:fill="F5F5F6"/>
            <w:tcMar>
              <w:top w:w="380" w:type="nil"/>
              <w:left w:w="240" w:type="nil"/>
              <w:bottom w:w="240" w:type="nil"/>
              <w:right w:w="380" w:type="nil"/>
            </w:tcMar>
          </w:tcPr>
          <w:p w:rsidR="000A2420" w:rsidRPr="000A2420" w:rsidRDefault="000A2420" w:rsidP="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t xml:space="preserve">List each of your program's learning outcomes, and then provide a narrative and/or attach a table to describe the evidence - surveys, assignments, exams, questions, etc. - that will be used to measure each outcome.: </w:t>
            </w:r>
          </w:p>
        </w:tc>
        <w:tc>
          <w:tcPr>
            <w:tcW w:w="6902" w:type="dxa"/>
            <w:shd w:val="clear" w:color="auto" w:fill="F5F5F6"/>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demonstrate a mastery of key concepts in physiology, nutrition, and metabolism as they relate to health and disease conditions. Assessed in courses by using exams, written reports, quizzes and oral presentations. Assessed during dissertation research by participating in seminars and lab meetings.</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be able to integrate scientific information gained through literature and laboratory discovery into their own research applications. Assessed during dissertation research by participating in seminars and lab meetings.</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demonstrate effective communication of nutrition information using written reports, professional presentations, multimedia approaches, and technical research formats. Assessed in courses by using exams, written reports, quizzes and oral presentations. Assessed during dissertation research by participating in seminars and lab meetings.</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understand professional, academic, and scientific ethics. Assessed in courses by using exams, written reports, quizzes and oral presentations. Assessed during dissertation research by participating in seminars and lab meetings.</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demonstrate an ability to self-educate through literature review and analysis. Assessed in courses by using exams, written reports, quizzes and oral presentations. Assessed during dissertation research by participating in seminars and lab meetings.</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possess good general research skills including hypothesis testing and experimental design, and learn technical laboratory skills relevant to modern biomedical research. Assessed in courses by using exams, written reports, quizzes and oral presentations. Assessed during dissertation research by participating in seminars and lab meetings.</w:t>
            </w:r>
          </w:p>
        </w:tc>
      </w:tr>
      <w:tr w:rsidR="000A2420" w:rsidRPr="000A2420" w:rsidTr="000A2420">
        <w:tblPrEx>
          <w:tblBorders>
            <w:top w:val="none" w:sz="0" w:space="0" w:color="auto"/>
          </w:tblBorders>
          <w:tblCellMar>
            <w:top w:w="0" w:type="dxa"/>
            <w:bottom w:w="0" w:type="dxa"/>
          </w:tblCellMar>
        </w:tblPrEx>
        <w:tc>
          <w:tcPr>
            <w:tcW w:w="2656" w:type="dxa"/>
            <w:shd w:val="clear" w:color="auto" w:fill="C4CACF"/>
            <w:tcMar>
              <w:top w:w="380" w:type="nil"/>
              <w:left w:w="240" w:type="nil"/>
              <w:bottom w:w="240" w:type="nil"/>
              <w:right w:w="380" w:type="nil"/>
            </w:tcMar>
          </w:tcPr>
          <w:p w:rsidR="000A2420" w:rsidRPr="000A2420" w:rsidRDefault="000A2420" w:rsidP="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t xml:space="preserve">How will evidence be collected?: </w:t>
            </w:r>
          </w:p>
        </w:tc>
        <w:tc>
          <w:tcPr>
            <w:tcW w:w="6902"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Evidence will be collected during coursework that students take during their curriculum, and program of study milestones required by our department. Specifically,</w:t>
            </w:r>
          </w:p>
          <w:p w:rsidR="000A2420" w:rsidRPr="000A2420" w:rsidRDefault="000A2420">
            <w:pPr>
              <w:autoSpaceDE w:val="0"/>
              <w:autoSpaceDN w:val="0"/>
              <w:adjustRightInd w:val="0"/>
              <w:spacing w:line="360" w:lineRule="atLeast"/>
              <w:rPr>
                <w:rFonts w:ascii="Calibri" w:hAnsi="Calibri" w:cs="Calibri"/>
                <w:color w:val="111A20"/>
              </w:rPr>
            </w:pP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lastRenderedPageBreak/>
              <w:t>A. Courses taken will assess learning objectives using written assignments, oral presentations, exams, quizzes.</w:t>
            </w:r>
          </w:p>
          <w:p w:rsidR="000A2420" w:rsidRPr="000A2420" w:rsidRDefault="000A2420">
            <w:pPr>
              <w:autoSpaceDE w:val="0"/>
              <w:autoSpaceDN w:val="0"/>
              <w:adjustRightInd w:val="0"/>
              <w:spacing w:line="360" w:lineRule="atLeast"/>
              <w:rPr>
                <w:rFonts w:ascii="Calibri" w:hAnsi="Calibri" w:cs="Calibri"/>
                <w:color w:val="111A20"/>
              </w:rPr>
            </w:pP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xml:space="preserve">B. Assess learning outcomes during the dissertation research portion of study will be evaluated by: </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1. written proposal &amp; oral proposal presentation</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xml:space="preserve">2. written dissertation document &amp; oral dissertation defense </w:t>
            </w:r>
          </w:p>
        </w:tc>
      </w:tr>
      <w:tr w:rsidR="000A2420" w:rsidRPr="000A2420" w:rsidTr="000A2420">
        <w:tblPrEx>
          <w:tblBorders>
            <w:top w:val="none" w:sz="0" w:space="0" w:color="auto"/>
          </w:tblBorders>
          <w:tblCellMar>
            <w:top w:w="0" w:type="dxa"/>
            <w:bottom w:w="0" w:type="dxa"/>
          </w:tblCellMar>
        </w:tblPrEx>
        <w:tc>
          <w:tcPr>
            <w:tcW w:w="2656" w:type="dxa"/>
            <w:shd w:val="clear" w:color="auto" w:fill="F5F5F6"/>
            <w:tcMar>
              <w:top w:w="380" w:type="nil"/>
              <w:left w:w="240" w:type="nil"/>
              <w:bottom w:w="240" w:type="nil"/>
              <w:right w:w="380" w:type="nil"/>
            </w:tcMar>
          </w:tcPr>
          <w:p w:rsidR="000A2420" w:rsidRPr="000A2420" w:rsidRDefault="000A2420" w:rsidP="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lastRenderedPageBreak/>
              <w:t xml:space="preserve">Describe (or attach using the uploader below) the rubric or assessment tool you will use to measure each piece of evidence:: </w:t>
            </w:r>
          </w:p>
        </w:tc>
        <w:tc>
          <w:tcPr>
            <w:tcW w:w="6902" w:type="dxa"/>
            <w:shd w:val="clear" w:color="auto" w:fill="F5F5F6"/>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Evaluation of courses will be determined using exams, quizzes, written assignments, oral presentations. These will be assess using the standard university grading scale.</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Evaluation of research based program milestones (preliminary/comprehensive exam, proposal presentation, and dissertation defense) will be based on the following Pass/Conditional Pass/Fail rubric.</w:t>
            </w:r>
          </w:p>
          <w:p w:rsidR="000A2420" w:rsidRPr="000A2420" w:rsidRDefault="000A2420">
            <w:pPr>
              <w:autoSpaceDE w:val="0"/>
              <w:autoSpaceDN w:val="0"/>
              <w:adjustRightInd w:val="0"/>
              <w:spacing w:line="360" w:lineRule="atLeast"/>
              <w:rPr>
                <w:rFonts w:ascii="Calibri" w:hAnsi="Calibri" w:cs="Calibri"/>
                <w:color w:val="111A20"/>
              </w:rPr>
            </w:pP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a. Pass: The student receives a full pass if the committee feels that they have performed well on all aspects of the exam or oral defense.</w:t>
            </w:r>
          </w:p>
          <w:p w:rsidR="000A2420" w:rsidRPr="000A2420" w:rsidRDefault="000A2420">
            <w:pPr>
              <w:autoSpaceDE w:val="0"/>
              <w:autoSpaceDN w:val="0"/>
              <w:adjustRightInd w:val="0"/>
              <w:spacing w:line="360" w:lineRule="atLeast"/>
              <w:rPr>
                <w:rFonts w:ascii="Calibri" w:hAnsi="Calibri" w:cs="Calibri"/>
                <w:color w:val="111A20"/>
              </w:rPr>
            </w:pP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b. Conditional pass: If a student performs well overall, but exhibits a significant deficiency in one area, the committee may require additional work in that particular area. This could include additional coursework, rewriting the proposal or dissertation, or an additional oral presentation for proposal or dissertation.</w:t>
            </w:r>
          </w:p>
          <w:p w:rsidR="000A2420" w:rsidRPr="000A2420" w:rsidRDefault="000A2420">
            <w:pPr>
              <w:autoSpaceDE w:val="0"/>
              <w:autoSpaceDN w:val="0"/>
              <w:adjustRightInd w:val="0"/>
              <w:spacing w:line="360" w:lineRule="atLeast"/>
              <w:rPr>
                <w:rFonts w:ascii="Calibri" w:hAnsi="Calibri" w:cs="Calibri"/>
                <w:color w:val="111A20"/>
              </w:rPr>
            </w:pP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c. Fail: The student will fail the exam / oral defense if the committee feels that they were severely deficient in one or more aspects of the exam. The student has the right to retake the exam within a reasonable time frame, for example 1-6 months, as determined by the discretion of the committee. If the student fails the second exam, the committee will recommend termination. This recommendation must be approved by the Department Chair, Associate Chair, and Director of Graduate Studies. Any student appeals to termination must follow the standard grievance procedures outlined in the NUIP Graduate Handbook.</w:t>
            </w:r>
          </w:p>
        </w:tc>
      </w:tr>
      <w:tr w:rsidR="000A2420" w:rsidRPr="000A2420" w:rsidTr="000A2420">
        <w:tblPrEx>
          <w:tblBorders>
            <w:top w:val="none" w:sz="0" w:space="0" w:color="auto"/>
          </w:tblBorders>
          <w:tblCellMar>
            <w:top w:w="0" w:type="dxa"/>
            <w:bottom w:w="0" w:type="dxa"/>
          </w:tblCellMar>
        </w:tblPrEx>
        <w:tc>
          <w:tcPr>
            <w:tcW w:w="2656"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lastRenderedPageBreak/>
              <w:t xml:space="preserve">Who will be assessing the evidence?: </w:t>
            </w:r>
          </w:p>
        </w:tc>
        <w:tc>
          <w:tcPr>
            <w:tcW w:w="6902"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xml:space="preserve">Course instructors, Dissertation Committee chair, and Dissertation committee. </w:t>
            </w:r>
          </w:p>
        </w:tc>
      </w:tr>
      <w:tr w:rsidR="000A2420" w:rsidRPr="000A2420" w:rsidTr="000A2420">
        <w:tblPrEx>
          <w:tblBorders>
            <w:top w:val="none" w:sz="0" w:space="0" w:color="auto"/>
          </w:tblBorders>
          <w:tblCellMar>
            <w:top w:w="0" w:type="dxa"/>
            <w:bottom w:w="0" w:type="dxa"/>
          </w:tblCellMar>
        </w:tblPrEx>
        <w:tc>
          <w:tcPr>
            <w:tcW w:w="2656" w:type="dxa"/>
            <w:shd w:val="clear" w:color="auto" w:fill="F5F5F6"/>
            <w:tcMar>
              <w:top w:w="380" w:type="nil"/>
              <w:left w:w="240" w:type="nil"/>
              <w:bottom w:w="240" w:type="nil"/>
              <w:right w:w="380" w:type="nil"/>
            </w:tcMar>
          </w:tcPr>
          <w:p w:rsidR="000A2420" w:rsidRPr="000A2420" w:rsidRDefault="000A2420" w:rsidP="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t xml:space="preserve">How will you analyze and present the analysis of your evidence?: </w:t>
            </w:r>
          </w:p>
        </w:tc>
        <w:tc>
          <w:tcPr>
            <w:tcW w:w="6902" w:type="dxa"/>
            <w:shd w:val="clear" w:color="auto" w:fill="F5F5F6"/>
            <w:tcMar>
              <w:top w:w="380" w:type="nil"/>
              <w:left w:w="240" w:type="nil"/>
              <w:bottom w:w="240" w:type="nil"/>
              <w:right w:w="380" w:type="nil"/>
            </w:tcMar>
            <w:vAlign w:val="center"/>
          </w:tcPr>
          <w:p w:rsidR="000A2420" w:rsidRPr="000A2420" w:rsidRDefault="000A2420" w:rsidP="000A2420">
            <w:pPr>
              <w:autoSpaceDE w:val="0"/>
              <w:autoSpaceDN w:val="0"/>
              <w:adjustRightInd w:val="0"/>
              <w:spacing w:line="360" w:lineRule="atLeast"/>
              <w:ind w:right="427"/>
              <w:rPr>
                <w:rFonts w:ascii="Calibri" w:hAnsi="Calibri" w:cs="Calibri"/>
                <w:color w:val="111A20"/>
              </w:rPr>
            </w:pPr>
            <w:r w:rsidRPr="000A2420">
              <w:rPr>
                <w:rFonts w:ascii="Calibri" w:hAnsi="Calibri" w:cs="Calibri"/>
                <w:color w:val="111A20"/>
              </w:rPr>
              <w:t>We have a Department Ph.D. Committee that oversees admission and management of the program. This committee and the Director of Graduate studies will assess learning outcomes evidence. We will track the following overall program metrics:</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Percentage of doctoral candidates that complete the required 2 years of coursework and pass their preliminary exams the first time</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Percentage of admitted candidates that receive PhD degrees</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Number of abstract presentations at conferences</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Number of peer reviewed manuscripts</w:t>
            </w:r>
          </w:p>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Percentage of graduates that secure jobs or postdoctoral training positions upon completion of PhD</w:t>
            </w:r>
          </w:p>
        </w:tc>
      </w:tr>
      <w:tr w:rsidR="000A2420" w:rsidRPr="000A2420" w:rsidTr="000A2420">
        <w:tblPrEx>
          <w:tblBorders>
            <w:top w:val="none" w:sz="0" w:space="0" w:color="auto"/>
          </w:tblBorders>
          <w:tblCellMar>
            <w:top w:w="0" w:type="dxa"/>
            <w:bottom w:w="0" w:type="dxa"/>
          </w:tblCellMar>
        </w:tblPrEx>
        <w:tc>
          <w:tcPr>
            <w:tcW w:w="2656"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t xml:space="preserve">Who writes your assessment report?: </w:t>
            </w:r>
          </w:p>
        </w:tc>
        <w:tc>
          <w:tcPr>
            <w:tcW w:w="6902"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xml:space="preserve">Director of Graduate Studies and Department PhD committee </w:t>
            </w:r>
          </w:p>
        </w:tc>
      </w:tr>
      <w:tr w:rsidR="000A2420" w:rsidRPr="000A2420" w:rsidTr="000A2420">
        <w:tblPrEx>
          <w:tblBorders>
            <w:top w:val="none" w:sz="0" w:space="0" w:color="auto"/>
          </w:tblBorders>
          <w:tblCellMar>
            <w:top w:w="0" w:type="dxa"/>
            <w:bottom w:w="0" w:type="dxa"/>
          </w:tblCellMar>
        </w:tblPrEx>
        <w:tc>
          <w:tcPr>
            <w:tcW w:w="2656" w:type="dxa"/>
            <w:shd w:val="clear" w:color="auto" w:fill="F5F5F6"/>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t xml:space="preserve">Who reads your assessment report?: </w:t>
            </w:r>
          </w:p>
        </w:tc>
        <w:tc>
          <w:tcPr>
            <w:tcW w:w="6902" w:type="dxa"/>
            <w:shd w:val="clear" w:color="auto" w:fill="F5F5F6"/>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xml:space="preserve">Department Chair and Dean of College </w:t>
            </w:r>
          </w:p>
        </w:tc>
      </w:tr>
      <w:tr w:rsidR="000A2420" w:rsidRPr="000A2420" w:rsidTr="000A2420">
        <w:tblPrEx>
          <w:tblBorders>
            <w:top w:val="none" w:sz="0" w:space="0" w:color="auto"/>
          </w:tblBorders>
          <w:tblCellMar>
            <w:top w:w="0" w:type="dxa"/>
            <w:bottom w:w="0" w:type="dxa"/>
          </w:tblCellMar>
        </w:tblPrEx>
        <w:tc>
          <w:tcPr>
            <w:tcW w:w="2656"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t xml:space="preserve">Who acts on the assessment report?: </w:t>
            </w:r>
          </w:p>
        </w:tc>
        <w:tc>
          <w:tcPr>
            <w:tcW w:w="6902"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xml:space="preserve">Department Chair, Director of Graduate Studies, Faculty </w:t>
            </w:r>
          </w:p>
        </w:tc>
      </w:tr>
      <w:tr w:rsidR="000A2420" w:rsidRPr="000A2420" w:rsidTr="000A2420">
        <w:tblPrEx>
          <w:tblBorders>
            <w:top w:val="none" w:sz="0" w:space="0" w:color="auto"/>
          </w:tblBorders>
          <w:tblCellMar>
            <w:top w:w="0" w:type="dxa"/>
            <w:bottom w:w="0" w:type="dxa"/>
          </w:tblCellMar>
        </w:tblPrEx>
        <w:tc>
          <w:tcPr>
            <w:tcW w:w="2656" w:type="dxa"/>
            <w:shd w:val="clear" w:color="auto" w:fill="F5F5F6"/>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t xml:space="preserve">Submitter Name: </w:t>
            </w:r>
          </w:p>
        </w:tc>
        <w:tc>
          <w:tcPr>
            <w:tcW w:w="6902" w:type="dxa"/>
            <w:shd w:val="clear" w:color="auto" w:fill="F5F5F6"/>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xml:space="preserve">Thunder Jalili </w:t>
            </w:r>
          </w:p>
        </w:tc>
      </w:tr>
      <w:tr w:rsidR="000A2420" w:rsidRPr="000A2420" w:rsidTr="000A2420">
        <w:tblPrEx>
          <w:tblCellMar>
            <w:top w:w="0" w:type="dxa"/>
            <w:bottom w:w="0" w:type="dxa"/>
          </w:tblCellMar>
        </w:tblPrEx>
        <w:tc>
          <w:tcPr>
            <w:tcW w:w="2656"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b/>
                <w:bCs/>
                <w:color w:val="596772"/>
              </w:rPr>
            </w:pPr>
            <w:r w:rsidRPr="000A2420">
              <w:rPr>
                <w:rFonts w:ascii="Calibri" w:hAnsi="Calibri" w:cs="Calibri"/>
                <w:b/>
                <w:bCs/>
                <w:color w:val="596772"/>
              </w:rPr>
              <w:t xml:space="preserve">Submitter Email: </w:t>
            </w:r>
          </w:p>
        </w:tc>
        <w:tc>
          <w:tcPr>
            <w:tcW w:w="6902" w:type="dxa"/>
            <w:shd w:val="clear" w:color="auto" w:fill="C4CACF"/>
            <w:tcMar>
              <w:top w:w="380" w:type="nil"/>
              <w:left w:w="240" w:type="nil"/>
              <w:bottom w:w="240" w:type="nil"/>
              <w:right w:w="380" w:type="nil"/>
            </w:tcMar>
            <w:vAlign w:val="center"/>
          </w:tcPr>
          <w:p w:rsidR="000A2420" w:rsidRPr="000A2420" w:rsidRDefault="000A2420">
            <w:pPr>
              <w:autoSpaceDE w:val="0"/>
              <w:autoSpaceDN w:val="0"/>
              <w:adjustRightInd w:val="0"/>
              <w:spacing w:line="360" w:lineRule="atLeast"/>
              <w:rPr>
                <w:rFonts w:ascii="Calibri" w:hAnsi="Calibri" w:cs="Calibri"/>
                <w:color w:val="111A20"/>
              </w:rPr>
            </w:pPr>
            <w:r w:rsidRPr="000A2420">
              <w:rPr>
                <w:rFonts w:ascii="Calibri" w:hAnsi="Calibri" w:cs="Calibri"/>
                <w:color w:val="111A20"/>
              </w:rPr>
              <w:t xml:space="preserve">thunder.jalili@utah.edu </w:t>
            </w:r>
          </w:p>
        </w:tc>
      </w:tr>
    </w:tbl>
    <w:p w:rsidR="000A2420" w:rsidRDefault="000A2420" w:rsidP="000A2420">
      <w:pPr>
        <w:autoSpaceDE w:val="0"/>
        <w:autoSpaceDN w:val="0"/>
        <w:adjustRightInd w:val="0"/>
        <w:spacing w:line="420" w:lineRule="atLeast"/>
        <w:rPr>
          <w:rFonts w:ascii="Helvetica" w:hAnsi="Helvetica" w:cs="Helvetica"/>
          <w:color w:val="596772"/>
          <w:sz w:val="32"/>
          <w:szCs w:val="32"/>
        </w:rPr>
      </w:pPr>
    </w:p>
    <w:p w:rsidR="008A0D87" w:rsidRDefault="008A0D87"/>
    <w:sectPr w:rsidR="008A0D87" w:rsidSect="006D64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20"/>
    <w:rsid w:val="00006A5B"/>
    <w:rsid w:val="00023FDA"/>
    <w:rsid w:val="000306D1"/>
    <w:rsid w:val="00043CF2"/>
    <w:rsid w:val="000446E3"/>
    <w:rsid w:val="00047745"/>
    <w:rsid w:val="000557AA"/>
    <w:rsid w:val="00055C86"/>
    <w:rsid w:val="00062B31"/>
    <w:rsid w:val="00063E46"/>
    <w:rsid w:val="00073E2B"/>
    <w:rsid w:val="000908CD"/>
    <w:rsid w:val="00091CBA"/>
    <w:rsid w:val="000A2420"/>
    <w:rsid w:val="000A4144"/>
    <w:rsid w:val="000B494A"/>
    <w:rsid w:val="00112A6D"/>
    <w:rsid w:val="00122406"/>
    <w:rsid w:val="00127200"/>
    <w:rsid w:val="00143A50"/>
    <w:rsid w:val="0015250B"/>
    <w:rsid w:val="00163085"/>
    <w:rsid w:val="00195B99"/>
    <w:rsid w:val="001A7981"/>
    <w:rsid w:val="001B3860"/>
    <w:rsid w:val="001B3FB5"/>
    <w:rsid w:val="001B71B1"/>
    <w:rsid w:val="001C1D2D"/>
    <w:rsid w:val="001C383C"/>
    <w:rsid w:val="001C4080"/>
    <w:rsid w:val="001C5F2C"/>
    <w:rsid w:val="001D5EA1"/>
    <w:rsid w:val="001D62F7"/>
    <w:rsid w:val="001E7296"/>
    <w:rsid w:val="0020147F"/>
    <w:rsid w:val="00202BCE"/>
    <w:rsid w:val="00203F62"/>
    <w:rsid w:val="00204C48"/>
    <w:rsid w:val="00243499"/>
    <w:rsid w:val="00246F99"/>
    <w:rsid w:val="002517DE"/>
    <w:rsid w:val="00251F83"/>
    <w:rsid w:val="0025760D"/>
    <w:rsid w:val="0026379A"/>
    <w:rsid w:val="002651E4"/>
    <w:rsid w:val="002666B8"/>
    <w:rsid w:val="0028297D"/>
    <w:rsid w:val="00287C0A"/>
    <w:rsid w:val="002A0365"/>
    <w:rsid w:val="002A234E"/>
    <w:rsid w:val="002B0FF5"/>
    <w:rsid w:val="002C356B"/>
    <w:rsid w:val="002E3EEF"/>
    <w:rsid w:val="002E6072"/>
    <w:rsid w:val="00304D3F"/>
    <w:rsid w:val="00314CD0"/>
    <w:rsid w:val="00316C58"/>
    <w:rsid w:val="00321229"/>
    <w:rsid w:val="0034148C"/>
    <w:rsid w:val="00341B7B"/>
    <w:rsid w:val="003420B1"/>
    <w:rsid w:val="00352693"/>
    <w:rsid w:val="0035739F"/>
    <w:rsid w:val="00357632"/>
    <w:rsid w:val="00362F7C"/>
    <w:rsid w:val="003A22E7"/>
    <w:rsid w:val="003A6C5E"/>
    <w:rsid w:val="003C3743"/>
    <w:rsid w:val="003D001D"/>
    <w:rsid w:val="003F3866"/>
    <w:rsid w:val="003F429E"/>
    <w:rsid w:val="003F546E"/>
    <w:rsid w:val="003F62C4"/>
    <w:rsid w:val="004200C1"/>
    <w:rsid w:val="004242F1"/>
    <w:rsid w:val="00430C67"/>
    <w:rsid w:val="00431E46"/>
    <w:rsid w:val="004502FC"/>
    <w:rsid w:val="00451539"/>
    <w:rsid w:val="00475F0D"/>
    <w:rsid w:val="004923F5"/>
    <w:rsid w:val="004A2131"/>
    <w:rsid w:val="004B4903"/>
    <w:rsid w:val="004B582B"/>
    <w:rsid w:val="004B7B6D"/>
    <w:rsid w:val="004D0BFF"/>
    <w:rsid w:val="005110AE"/>
    <w:rsid w:val="00515210"/>
    <w:rsid w:val="00515EED"/>
    <w:rsid w:val="00521A6F"/>
    <w:rsid w:val="00530712"/>
    <w:rsid w:val="0053436E"/>
    <w:rsid w:val="00550502"/>
    <w:rsid w:val="00555512"/>
    <w:rsid w:val="0057728D"/>
    <w:rsid w:val="00585065"/>
    <w:rsid w:val="005973E3"/>
    <w:rsid w:val="005C71F8"/>
    <w:rsid w:val="005D27BE"/>
    <w:rsid w:val="005E1C7F"/>
    <w:rsid w:val="005F493B"/>
    <w:rsid w:val="00600AE3"/>
    <w:rsid w:val="00604E1E"/>
    <w:rsid w:val="00605F1F"/>
    <w:rsid w:val="00621BC3"/>
    <w:rsid w:val="00622090"/>
    <w:rsid w:val="006326D2"/>
    <w:rsid w:val="00640091"/>
    <w:rsid w:val="006429BA"/>
    <w:rsid w:val="00655493"/>
    <w:rsid w:val="0065602D"/>
    <w:rsid w:val="006619CE"/>
    <w:rsid w:val="0068424D"/>
    <w:rsid w:val="006965DA"/>
    <w:rsid w:val="006A3271"/>
    <w:rsid w:val="006B14E0"/>
    <w:rsid w:val="006C0AB6"/>
    <w:rsid w:val="006C60EB"/>
    <w:rsid w:val="006D1D5C"/>
    <w:rsid w:val="006D39F3"/>
    <w:rsid w:val="00702B35"/>
    <w:rsid w:val="00706376"/>
    <w:rsid w:val="00707ACD"/>
    <w:rsid w:val="00721D62"/>
    <w:rsid w:val="0072404A"/>
    <w:rsid w:val="007243FD"/>
    <w:rsid w:val="00725307"/>
    <w:rsid w:val="007306D4"/>
    <w:rsid w:val="00740527"/>
    <w:rsid w:val="00775E64"/>
    <w:rsid w:val="00784C34"/>
    <w:rsid w:val="00787149"/>
    <w:rsid w:val="007D45A6"/>
    <w:rsid w:val="007D5778"/>
    <w:rsid w:val="007E5932"/>
    <w:rsid w:val="007E75E0"/>
    <w:rsid w:val="007F283C"/>
    <w:rsid w:val="007F344C"/>
    <w:rsid w:val="008009DB"/>
    <w:rsid w:val="00802457"/>
    <w:rsid w:val="00815DE8"/>
    <w:rsid w:val="00816B39"/>
    <w:rsid w:val="00824B1B"/>
    <w:rsid w:val="0083017E"/>
    <w:rsid w:val="00833FB8"/>
    <w:rsid w:val="00860790"/>
    <w:rsid w:val="00864E51"/>
    <w:rsid w:val="00871C05"/>
    <w:rsid w:val="0087304E"/>
    <w:rsid w:val="00873C47"/>
    <w:rsid w:val="0087559D"/>
    <w:rsid w:val="0088141A"/>
    <w:rsid w:val="00887E32"/>
    <w:rsid w:val="008A0D87"/>
    <w:rsid w:val="008A58C4"/>
    <w:rsid w:val="008A6242"/>
    <w:rsid w:val="008B129D"/>
    <w:rsid w:val="008B336D"/>
    <w:rsid w:val="008C1778"/>
    <w:rsid w:val="008E2F5B"/>
    <w:rsid w:val="008E36C1"/>
    <w:rsid w:val="008F48D2"/>
    <w:rsid w:val="009069A9"/>
    <w:rsid w:val="00912BFF"/>
    <w:rsid w:val="0093277D"/>
    <w:rsid w:val="0093289F"/>
    <w:rsid w:val="00943B30"/>
    <w:rsid w:val="009444F6"/>
    <w:rsid w:val="00957037"/>
    <w:rsid w:val="00965E49"/>
    <w:rsid w:val="00967AAF"/>
    <w:rsid w:val="009936F8"/>
    <w:rsid w:val="00995DAD"/>
    <w:rsid w:val="009A0144"/>
    <w:rsid w:val="009B23A4"/>
    <w:rsid w:val="009B2502"/>
    <w:rsid w:val="009C124F"/>
    <w:rsid w:val="009C2276"/>
    <w:rsid w:val="009C29EC"/>
    <w:rsid w:val="009C4F5B"/>
    <w:rsid w:val="009D0D2E"/>
    <w:rsid w:val="009D6972"/>
    <w:rsid w:val="009F0D13"/>
    <w:rsid w:val="009F2021"/>
    <w:rsid w:val="009F2D9A"/>
    <w:rsid w:val="009F7C7B"/>
    <w:rsid w:val="00A22F90"/>
    <w:rsid w:val="00A31A86"/>
    <w:rsid w:val="00A424D5"/>
    <w:rsid w:val="00A5166C"/>
    <w:rsid w:val="00A80C0C"/>
    <w:rsid w:val="00A84454"/>
    <w:rsid w:val="00A93252"/>
    <w:rsid w:val="00A94204"/>
    <w:rsid w:val="00AC3E85"/>
    <w:rsid w:val="00AD01B4"/>
    <w:rsid w:val="00AD29C8"/>
    <w:rsid w:val="00AD42CB"/>
    <w:rsid w:val="00AD73FF"/>
    <w:rsid w:val="00AE5A99"/>
    <w:rsid w:val="00AE676D"/>
    <w:rsid w:val="00AF3527"/>
    <w:rsid w:val="00AF4006"/>
    <w:rsid w:val="00AF4786"/>
    <w:rsid w:val="00B337F2"/>
    <w:rsid w:val="00B46854"/>
    <w:rsid w:val="00B67BBB"/>
    <w:rsid w:val="00B76E58"/>
    <w:rsid w:val="00B81FCF"/>
    <w:rsid w:val="00BB3809"/>
    <w:rsid w:val="00BC73F9"/>
    <w:rsid w:val="00BD306A"/>
    <w:rsid w:val="00BD6096"/>
    <w:rsid w:val="00BE49C7"/>
    <w:rsid w:val="00BF4664"/>
    <w:rsid w:val="00C5332C"/>
    <w:rsid w:val="00C551EC"/>
    <w:rsid w:val="00C55706"/>
    <w:rsid w:val="00C663D1"/>
    <w:rsid w:val="00C66CA3"/>
    <w:rsid w:val="00C6794E"/>
    <w:rsid w:val="00C87466"/>
    <w:rsid w:val="00C87B42"/>
    <w:rsid w:val="00C87D0B"/>
    <w:rsid w:val="00C951B5"/>
    <w:rsid w:val="00CA35E1"/>
    <w:rsid w:val="00CA6F6E"/>
    <w:rsid w:val="00CB5DD0"/>
    <w:rsid w:val="00CE259F"/>
    <w:rsid w:val="00CF6098"/>
    <w:rsid w:val="00D06F4F"/>
    <w:rsid w:val="00D16754"/>
    <w:rsid w:val="00D206FC"/>
    <w:rsid w:val="00D334CB"/>
    <w:rsid w:val="00D35655"/>
    <w:rsid w:val="00D45D3F"/>
    <w:rsid w:val="00D52669"/>
    <w:rsid w:val="00D7635E"/>
    <w:rsid w:val="00D831BB"/>
    <w:rsid w:val="00DA438A"/>
    <w:rsid w:val="00DB4B01"/>
    <w:rsid w:val="00DB5B4F"/>
    <w:rsid w:val="00DC2F71"/>
    <w:rsid w:val="00DD0CB7"/>
    <w:rsid w:val="00DD176B"/>
    <w:rsid w:val="00DD1BD9"/>
    <w:rsid w:val="00DE7801"/>
    <w:rsid w:val="00DF0BB2"/>
    <w:rsid w:val="00E16ADB"/>
    <w:rsid w:val="00E20FB1"/>
    <w:rsid w:val="00E23CC8"/>
    <w:rsid w:val="00E3196D"/>
    <w:rsid w:val="00E33B1E"/>
    <w:rsid w:val="00E3663B"/>
    <w:rsid w:val="00E46A2D"/>
    <w:rsid w:val="00E52DF1"/>
    <w:rsid w:val="00E53152"/>
    <w:rsid w:val="00E54440"/>
    <w:rsid w:val="00E57D8A"/>
    <w:rsid w:val="00E60EEF"/>
    <w:rsid w:val="00E8010F"/>
    <w:rsid w:val="00E83E62"/>
    <w:rsid w:val="00E87EB1"/>
    <w:rsid w:val="00E90072"/>
    <w:rsid w:val="00E9601D"/>
    <w:rsid w:val="00EA0893"/>
    <w:rsid w:val="00EA08E0"/>
    <w:rsid w:val="00EA4342"/>
    <w:rsid w:val="00EA468F"/>
    <w:rsid w:val="00EC44A6"/>
    <w:rsid w:val="00EF34F9"/>
    <w:rsid w:val="00F009B5"/>
    <w:rsid w:val="00F11E05"/>
    <w:rsid w:val="00F12326"/>
    <w:rsid w:val="00F2589E"/>
    <w:rsid w:val="00F41A36"/>
    <w:rsid w:val="00F53978"/>
    <w:rsid w:val="00F61704"/>
    <w:rsid w:val="00F712B8"/>
    <w:rsid w:val="00F823F1"/>
    <w:rsid w:val="00F82F9B"/>
    <w:rsid w:val="00F8650A"/>
    <w:rsid w:val="00F876FF"/>
    <w:rsid w:val="00F87859"/>
    <w:rsid w:val="00F935F4"/>
    <w:rsid w:val="00F94081"/>
    <w:rsid w:val="00FA3232"/>
    <w:rsid w:val="00FA7BBD"/>
    <w:rsid w:val="00FB4FF8"/>
    <w:rsid w:val="00FE660C"/>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257C2"/>
  <w15:chartTrackingRefBased/>
  <w15:docId w15:val="{5B681592-BC4A-E844-A0DE-2798EA1C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Ziegenfuss</dc:creator>
  <cp:keywords/>
  <dc:description/>
  <cp:lastModifiedBy>Donna Ziegenfuss</cp:lastModifiedBy>
  <cp:revision>1</cp:revision>
  <dcterms:created xsi:type="dcterms:W3CDTF">2020-09-09T19:37:00Z</dcterms:created>
  <dcterms:modified xsi:type="dcterms:W3CDTF">2020-09-09T19:42:00Z</dcterms:modified>
</cp:coreProperties>
</file>