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6.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7.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8.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9.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10.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11.xml" ContentType="application/vnd.openxmlformats-officedocument.drawingml.chart+xml"/>
  <Override PartName="/word/theme/themeOverride5.xml" ContentType="application/vnd.openxmlformats-officedocument.themeOverride+xml"/>
  <Override PartName="/word/charts/chart12.xml" ContentType="application/vnd.openxmlformats-officedocument.drawingml.chart+xml"/>
  <Override PartName="/word/theme/themeOverride6.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B961FE" w14:textId="77777777" w:rsidR="009D57E8" w:rsidRPr="00C41AAF" w:rsidRDefault="009D57E8" w:rsidP="007C356A">
      <w:pPr>
        <w:jc w:val="center"/>
        <w:outlineLvl w:val="0"/>
        <w:rPr>
          <w:rFonts w:ascii="Garamond" w:hAnsi="Garamond"/>
          <w:b/>
        </w:rPr>
      </w:pPr>
      <w:r w:rsidRPr="00C41AAF">
        <w:rPr>
          <w:rFonts w:ascii="Garamond" w:hAnsi="Garamond"/>
          <w:b/>
        </w:rPr>
        <w:t>General Education Learning Outcomes Assessment</w:t>
      </w:r>
    </w:p>
    <w:p w14:paraId="5FF123F7" w14:textId="77777777" w:rsidR="009D57E8" w:rsidRPr="00C41AAF" w:rsidRDefault="009D57E8" w:rsidP="007C356A">
      <w:pPr>
        <w:jc w:val="center"/>
        <w:outlineLvl w:val="0"/>
        <w:rPr>
          <w:rFonts w:ascii="Garamond" w:hAnsi="Garamond"/>
          <w:b/>
        </w:rPr>
      </w:pPr>
      <w:r>
        <w:rPr>
          <w:rFonts w:ascii="Garamond" w:hAnsi="Garamond"/>
          <w:b/>
        </w:rPr>
        <w:t>Intercultural Knowledge and Competence &amp; Quantitative Literacy</w:t>
      </w:r>
    </w:p>
    <w:p w14:paraId="40FD9AA4" w14:textId="77777777" w:rsidR="009D57E8" w:rsidRPr="00C41AAF" w:rsidRDefault="009D57E8" w:rsidP="007C356A">
      <w:pPr>
        <w:jc w:val="center"/>
        <w:outlineLvl w:val="0"/>
        <w:rPr>
          <w:rFonts w:ascii="Garamond" w:hAnsi="Garamond"/>
          <w:b/>
        </w:rPr>
      </w:pPr>
      <w:r>
        <w:rPr>
          <w:rFonts w:ascii="Garamond" w:hAnsi="Garamond"/>
          <w:b/>
        </w:rPr>
        <w:t>Spring 2016</w:t>
      </w:r>
    </w:p>
    <w:p w14:paraId="5C224C3C" w14:textId="77777777" w:rsidR="009D57E8" w:rsidRPr="00C41AAF" w:rsidRDefault="009D57E8" w:rsidP="009D57E8">
      <w:pPr>
        <w:rPr>
          <w:rFonts w:ascii="Garamond" w:hAnsi="Garamond"/>
          <w:b/>
        </w:rPr>
      </w:pPr>
    </w:p>
    <w:p w14:paraId="2AD37EA7" w14:textId="5CBDA9DF" w:rsidR="009D57E8" w:rsidRPr="00C41AAF" w:rsidRDefault="009D57E8" w:rsidP="009D57E8">
      <w:pPr>
        <w:rPr>
          <w:rFonts w:ascii="Garamond" w:hAnsi="Garamond"/>
        </w:rPr>
      </w:pPr>
      <w:r>
        <w:rPr>
          <w:rFonts w:ascii="Garamond" w:hAnsi="Garamond"/>
        </w:rPr>
        <w:t xml:space="preserve">In </w:t>
      </w:r>
      <w:r w:rsidRPr="00C41AAF">
        <w:rPr>
          <w:rFonts w:ascii="Garamond" w:hAnsi="Garamond"/>
        </w:rPr>
        <w:t xml:space="preserve">the </w:t>
      </w:r>
      <w:r w:rsidR="007C356A">
        <w:rPr>
          <w:rFonts w:ascii="Garamond" w:hAnsi="Garamond"/>
        </w:rPr>
        <w:t xml:space="preserve">spring of 2016, </w:t>
      </w:r>
      <w:r w:rsidRPr="00C41AAF">
        <w:rPr>
          <w:rFonts w:ascii="Garamond" w:hAnsi="Garamond"/>
        </w:rPr>
        <w:t>the Office of General Education (</w:t>
      </w:r>
      <w:r>
        <w:rPr>
          <w:rFonts w:ascii="Garamond" w:hAnsi="Garamond"/>
        </w:rPr>
        <w:t>GE</w:t>
      </w:r>
      <w:r w:rsidRPr="00C41AAF">
        <w:rPr>
          <w:rFonts w:ascii="Garamond" w:hAnsi="Garamond"/>
        </w:rPr>
        <w:t xml:space="preserve">) conducted an assessment of two of the General Education Learning Outcomes: </w:t>
      </w:r>
      <w:r w:rsidR="00D213DD">
        <w:rPr>
          <w:rFonts w:ascii="Garamond" w:hAnsi="Garamond"/>
        </w:rPr>
        <w:t>Intercultural Knowledge and Competence</w:t>
      </w:r>
      <w:r w:rsidRPr="00C41AAF">
        <w:rPr>
          <w:rFonts w:ascii="Garamond" w:hAnsi="Garamond"/>
        </w:rPr>
        <w:t xml:space="preserve"> </w:t>
      </w:r>
      <w:r w:rsidR="00122D19">
        <w:rPr>
          <w:rFonts w:ascii="Garamond" w:hAnsi="Garamond"/>
        </w:rPr>
        <w:t xml:space="preserve">(IKC) </w:t>
      </w:r>
      <w:r w:rsidRPr="00C41AAF">
        <w:rPr>
          <w:rFonts w:ascii="Garamond" w:hAnsi="Garamond"/>
        </w:rPr>
        <w:t>and Quantitative Literacy</w:t>
      </w:r>
      <w:r w:rsidR="00122D19">
        <w:rPr>
          <w:rFonts w:ascii="Garamond" w:hAnsi="Garamond"/>
        </w:rPr>
        <w:t xml:space="preserve"> (QL)</w:t>
      </w:r>
      <w:r w:rsidRPr="00C41AAF">
        <w:rPr>
          <w:rFonts w:ascii="Garamond" w:hAnsi="Garamond"/>
        </w:rPr>
        <w:t xml:space="preserve">. </w:t>
      </w:r>
      <w:r w:rsidR="007C356A">
        <w:rPr>
          <w:rFonts w:ascii="Garamond" w:hAnsi="Garamond"/>
        </w:rPr>
        <w:t xml:space="preserve"> T</w:t>
      </w:r>
      <w:r w:rsidRPr="00C41AAF">
        <w:rPr>
          <w:rFonts w:ascii="Garamond" w:hAnsi="Garamond"/>
        </w:rPr>
        <w:t xml:space="preserve">his was the </w:t>
      </w:r>
      <w:r w:rsidR="00336B67">
        <w:rPr>
          <w:rFonts w:ascii="Garamond" w:hAnsi="Garamond"/>
        </w:rPr>
        <w:t>first time we have assessed Intercultural Knowledge and Competence and the second time we have looked at</w:t>
      </w:r>
      <w:r w:rsidRPr="00C41AAF">
        <w:rPr>
          <w:rFonts w:ascii="Garamond" w:hAnsi="Garamond"/>
        </w:rPr>
        <w:t xml:space="preserve"> Quantitative Literacy</w:t>
      </w:r>
      <w:r w:rsidR="00336B67">
        <w:rPr>
          <w:rFonts w:ascii="Garamond" w:hAnsi="Garamond"/>
        </w:rPr>
        <w:t xml:space="preserve">.  </w:t>
      </w:r>
    </w:p>
    <w:p w14:paraId="5A8C2227" w14:textId="77777777" w:rsidR="009D57E8" w:rsidRDefault="009D57E8" w:rsidP="009D57E8">
      <w:pPr>
        <w:rPr>
          <w:rFonts w:ascii="Garamond" w:hAnsi="Garamond"/>
        </w:rPr>
      </w:pPr>
    </w:p>
    <w:p w14:paraId="76D5B19C" w14:textId="65727B3B" w:rsidR="007C356A" w:rsidRDefault="007C356A" w:rsidP="009D57E8">
      <w:pPr>
        <w:rPr>
          <w:rFonts w:ascii="Garamond" w:hAnsi="Garamond"/>
          <w:b/>
        </w:rPr>
      </w:pPr>
      <w:r>
        <w:rPr>
          <w:rFonts w:ascii="Garamond" w:hAnsi="Garamond"/>
          <w:b/>
        </w:rPr>
        <w:t>Assessment Process</w:t>
      </w:r>
    </w:p>
    <w:p w14:paraId="73EE6A9C" w14:textId="325BC1C7" w:rsidR="007C356A" w:rsidRDefault="007C356A" w:rsidP="007C356A">
      <w:pPr>
        <w:rPr>
          <w:rFonts w:ascii="Garamond" w:hAnsi="Garamond"/>
        </w:rPr>
      </w:pPr>
      <w:r w:rsidRPr="00C41AAF">
        <w:rPr>
          <w:rFonts w:ascii="Garamond" w:hAnsi="Garamond"/>
        </w:rPr>
        <w:t xml:space="preserve">The Office of General Education solicited </w:t>
      </w:r>
      <w:r>
        <w:rPr>
          <w:rFonts w:ascii="Garamond" w:hAnsi="Garamond"/>
        </w:rPr>
        <w:t xml:space="preserve">artifacts from the departments of all of the </w:t>
      </w:r>
      <w:r w:rsidR="005D64A3">
        <w:rPr>
          <w:rFonts w:ascii="Garamond" w:hAnsi="Garamond"/>
        </w:rPr>
        <w:t xml:space="preserve">General Education </w:t>
      </w:r>
      <w:r>
        <w:rPr>
          <w:rFonts w:ascii="Garamond" w:hAnsi="Garamond"/>
        </w:rPr>
        <w:t xml:space="preserve">courses that had one of the </w:t>
      </w:r>
      <w:r w:rsidR="00F46703">
        <w:rPr>
          <w:rFonts w:ascii="Garamond" w:hAnsi="Garamond"/>
        </w:rPr>
        <w:t xml:space="preserve">two </w:t>
      </w:r>
      <w:r>
        <w:rPr>
          <w:rFonts w:ascii="Garamond" w:hAnsi="Garamond"/>
        </w:rPr>
        <w:t xml:space="preserve">outcomes selected during </w:t>
      </w:r>
      <w:r w:rsidR="005D64A3">
        <w:rPr>
          <w:rFonts w:ascii="Garamond" w:hAnsi="Garamond"/>
        </w:rPr>
        <w:t>the</w:t>
      </w:r>
      <w:r>
        <w:rPr>
          <w:rFonts w:ascii="Garamond" w:hAnsi="Garamond"/>
        </w:rPr>
        <w:t xml:space="preserve"> most recent </w:t>
      </w:r>
      <w:r w:rsidR="005D64A3">
        <w:rPr>
          <w:rFonts w:ascii="Garamond" w:hAnsi="Garamond"/>
        </w:rPr>
        <w:t xml:space="preserve">General Education designation </w:t>
      </w:r>
      <w:r>
        <w:rPr>
          <w:rFonts w:ascii="Garamond" w:hAnsi="Garamond"/>
        </w:rPr>
        <w:t>review.  This result</w:t>
      </w:r>
      <w:r w:rsidR="00944A7D">
        <w:rPr>
          <w:rFonts w:ascii="Garamond" w:hAnsi="Garamond"/>
        </w:rPr>
        <w:t>ed</w:t>
      </w:r>
      <w:r>
        <w:rPr>
          <w:rFonts w:ascii="Garamond" w:hAnsi="Garamond"/>
        </w:rPr>
        <w:t xml:space="preserve"> in the collection of </w:t>
      </w:r>
      <w:r w:rsidRPr="00C41AAF">
        <w:rPr>
          <w:rFonts w:ascii="Garamond" w:hAnsi="Garamond"/>
        </w:rPr>
        <w:t>1</w:t>
      </w:r>
      <w:r>
        <w:rPr>
          <w:rFonts w:ascii="Garamond" w:hAnsi="Garamond"/>
        </w:rPr>
        <w:t>64</w:t>
      </w:r>
      <w:r w:rsidRPr="00C41AAF">
        <w:rPr>
          <w:rFonts w:ascii="Garamond" w:hAnsi="Garamond"/>
        </w:rPr>
        <w:t xml:space="preserve"> student artifacts (papers, exams,</w:t>
      </w:r>
      <w:r>
        <w:rPr>
          <w:rFonts w:ascii="Garamond" w:hAnsi="Garamond"/>
        </w:rPr>
        <w:t xml:space="preserve"> assignments) from faculty in 41</w:t>
      </w:r>
      <w:r w:rsidRPr="00C41AAF">
        <w:rPr>
          <w:rFonts w:ascii="Garamond" w:hAnsi="Garamond"/>
        </w:rPr>
        <w:t xml:space="preserve"> </w:t>
      </w:r>
      <w:r>
        <w:rPr>
          <w:rFonts w:ascii="Garamond" w:hAnsi="Garamond"/>
        </w:rPr>
        <w:t xml:space="preserve">General Education </w:t>
      </w:r>
      <w:r w:rsidRPr="00C41AAF">
        <w:rPr>
          <w:rFonts w:ascii="Garamond" w:hAnsi="Garamond"/>
        </w:rPr>
        <w:t xml:space="preserve">courses. </w:t>
      </w:r>
      <w:r w:rsidR="00206A73">
        <w:rPr>
          <w:rFonts w:ascii="Garamond" w:hAnsi="Garamond"/>
        </w:rPr>
        <w:t xml:space="preserve"> The levels of these courses (an approximation for difficulty) were distributed as follows: 20% at the 1000 level, 5% at the 2000 level, 45% at the 3000 level, and 30% at the 4000 level.   </w:t>
      </w:r>
      <w:r w:rsidR="00723C3F">
        <w:rPr>
          <w:rFonts w:ascii="Garamond" w:hAnsi="Garamond"/>
        </w:rPr>
        <w:t xml:space="preserve">Instructors were asked to submit four examples of student work – one low, two medium, and one high quality - that could demonstrate the achievement of the selected learning outcome. </w:t>
      </w:r>
    </w:p>
    <w:p w14:paraId="26BB5047" w14:textId="77777777" w:rsidR="007C356A" w:rsidRDefault="007C356A" w:rsidP="009D57E8">
      <w:pPr>
        <w:rPr>
          <w:rFonts w:ascii="Garamond" w:hAnsi="Garamond"/>
        </w:rPr>
      </w:pPr>
    </w:p>
    <w:p w14:paraId="4D0719DE" w14:textId="11EE9632" w:rsidR="009D57E8" w:rsidRDefault="007C356A" w:rsidP="009D57E8">
      <w:pPr>
        <w:rPr>
          <w:rFonts w:ascii="Garamond" w:hAnsi="Garamond"/>
        </w:rPr>
      </w:pPr>
      <w:r>
        <w:rPr>
          <w:rFonts w:ascii="Garamond" w:hAnsi="Garamond"/>
        </w:rPr>
        <w:t xml:space="preserve">The Office of General Education </w:t>
      </w:r>
      <w:r w:rsidR="00960927">
        <w:rPr>
          <w:rFonts w:ascii="Garamond" w:hAnsi="Garamond"/>
        </w:rPr>
        <w:t xml:space="preserve">asked 18 </w:t>
      </w:r>
      <w:r w:rsidR="009D57E8">
        <w:rPr>
          <w:rFonts w:ascii="Garamond" w:hAnsi="Garamond"/>
        </w:rPr>
        <w:t xml:space="preserve">faculty </w:t>
      </w:r>
      <w:r w:rsidR="00C301B9">
        <w:rPr>
          <w:rFonts w:ascii="Garamond" w:hAnsi="Garamond"/>
        </w:rPr>
        <w:t xml:space="preserve">members </w:t>
      </w:r>
      <w:r w:rsidR="00960927">
        <w:rPr>
          <w:rFonts w:ascii="Garamond" w:hAnsi="Garamond"/>
        </w:rPr>
        <w:t xml:space="preserve">on the General Education Curriculum Committee </w:t>
      </w:r>
      <w:r w:rsidR="009D57E8">
        <w:rPr>
          <w:rFonts w:ascii="Garamond" w:hAnsi="Garamond"/>
        </w:rPr>
        <w:t xml:space="preserve">to participate in this review, </w:t>
      </w:r>
      <w:r w:rsidR="00944A7D">
        <w:rPr>
          <w:rFonts w:ascii="Garamond" w:hAnsi="Garamond"/>
        </w:rPr>
        <w:t xml:space="preserve">and </w:t>
      </w:r>
      <w:r w:rsidR="009D57E8">
        <w:rPr>
          <w:rFonts w:ascii="Garamond" w:hAnsi="Garamond"/>
        </w:rPr>
        <w:t>Assistant Vice President Ann Darling and Assistant Dean Mark St. Andre</w:t>
      </w:r>
      <w:r w:rsidR="00944A7D">
        <w:rPr>
          <w:rFonts w:ascii="Garamond" w:hAnsi="Garamond"/>
        </w:rPr>
        <w:t xml:space="preserve"> were also reviewers</w:t>
      </w:r>
      <w:r w:rsidR="009D57E8">
        <w:rPr>
          <w:rFonts w:ascii="Garamond" w:hAnsi="Garamond"/>
        </w:rPr>
        <w:t xml:space="preserve">. </w:t>
      </w:r>
      <w:r w:rsidR="00960927">
        <w:rPr>
          <w:rFonts w:ascii="Garamond" w:hAnsi="Garamond"/>
        </w:rPr>
        <w:t xml:space="preserve">The 20 reviewers were split into 10 teams of 2 individuals, and each team reviewed 8 artifacts, which totaled 80 artifacts for the whole assessment. </w:t>
      </w:r>
      <w:r w:rsidR="00122D19">
        <w:rPr>
          <w:rFonts w:ascii="Garamond" w:hAnsi="Garamond"/>
        </w:rPr>
        <w:t xml:space="preserve">There were more reviewers with expertise in Intercultural Knowledge and Competence, so seven of the teams looked at IKC artifacts and three teams looked at </w:t>
      </w:r>
      <w:r w:rsidR="00944A7D">
        <w:rPr>
          <w:rFonts w:ascii="Garamond" w:hAnsi="Garamond"/>
        </w:rPr>
        <w:t xml:space="preserve">QL.  </w:t>
      </w:r>
      <w:r w:rsidR="00960927">
        <w:rPr>
          <w:rFonts w:ascii="Garamond" w:hAnsi="Garamond"/>
        </w:rPr>
        <w:t xml:space="preserve">All </w:t>
      </w:r>
      <w:r w:rsidR="00F46703">
        <w:rPr>
          <w:rFonts w:ascii="Garamond" w:hAnsi="Garamond"/>
        </w:rPr>
        <w:t>individuals</w:t>
      </w:r>
      <w:r w:rsidR="00960927">
        <w:rPr>
          <w:rFonts w:ascii="Garamond" w:hAnsi="Garamond"/>
        </w:rPr>
        <w:t xml:space="preserve"> completed all of their reviews.</w:t>
      </w:r>
    </w:p>
    <w:p w14:paraId="7541D679" w14:textId="77777777" w:rsidR="00605C27" w:rsidRDefault="00605C27" w:rsidP="009D57E8">
      <w:pPr>
        <w:rPr>
          <w:rFonts w:ascii="Garamond" w:hAnsi="Garamond"/>
        </w:rPr>
      </w:pPr>
    </w:p>
    <w:p w14:paraId="79CDC39C" w14:textId="1D2FB1D6" w:rsidR="00605C27" w:rsidRDefault="00605C27" w:rsidP="009D57E8">
      <w:pPr>
        <w:rPr>
          <w:rFonts w:ascii="Garamond" w:hAnsi="Garamond"/>
        </w:rPr>
      </w:pPr>
      <w:r>
        <w:rPr>
          <w:rFonts w:ascii="Garamond" w:hAnsi="Garamond"/>
        </w:rPr>
        <w:t xml:space="preserve">As </w:t>
      </w:r>
      <w:r w:rsidR="006A6BDD">
        <w:rPr>
          <w:rFonts w:ascii="Garamond" w:hAnsi="Garamond"/>
        </w:rPr>
        <w:t>in previous reviews</w:t>
      </w:r>
      <w:r>
        <w:rPr>
          <w:rFonts w:ascii="Garamond" w:hAnsi="Garamond"/>
        </w:rPr>
        <w:t xml:space="preserve">, the rubrics used to assess the learning outcomes were those developed by the Association of </w:t>
      </w:r>
      <w:r w:rsidR="0081561C">
        <w:rPr>
          <w:rFonts w:ascii="Garamond" w:hAnsi="Garamond"/>
        </w:rPr>
        <w:t xml:space="preserve">American </w:t>
      </w:r>
      <w:r>
        <w:rPr>
          <w:rFonts w:ascii="Garamond" w:hAnsi="Garamond"/>
        </w:rPr>
        <w:t xml:space="preserve">Colleges and Universities (AAC&amp;U) for </w:t>
      </w:r>
      <w:r w:rsidR="006A6BDD">
        <w:rPr>
          <w:rFonts w:ascii="Garamond" w:hAnsi="Garamond"/>
        </w:rPr>
        <w:t>the Essential Learning Outcomes</w:t>
      </w:r>
      <w:r>
        <w:rPr>
          <w:rFonts w:ascii="Garamond" w:hAnsi="Garamond"/>
        </w:rPr>
        <w:t xml:space="preserve">.  </w:t>
      </w:r>
      <w:r w:rsidR="00F46703">
        <w:rPr>
          <w:rFonts w:ascii="Garamond" w:hAnsi="Garamond"/>
        </w:rPr>
        <w:t xml:space="preserve">The ratings on the AAC&amp;U rubrics (1-4) reflect levels of achievement across the whole University experience.  A “1” is considered “baseline”, “2” and “3” are “milestones”, and “4” is “capstone.”  </w:t>
      </w:r>
    </w:p>
    <w:p w14:paraId="6D299EAF" w14:textId="77777777" w:rsidR="00960927" w:rsidRDefault="00960927" w:rsidP="009D57E8">
      <w:pPr>
        <w:rPr>
          <w:rFonts w:ascii="Garamond" w:hAnsi="Garamond"/>
        </w:rPr>
      </w:pPr>
    </w:p>
    <w:p w14:paraId="196A871E" w14:textId="500169F6" w:rsidR="00960927" w:rsidRPr="00723C3F" w:rsidRDefault="00960927" w:rsidP="009D57E8">
      <w:pPr>
        <w:rPr>
          <w:rFonts w:ascii="Garamond" w:hAnsi="Garamond"/>
          <w:b/>
        </w:rPr>
      </w:pPr>
      <w:r w:rsidRPr="00723C3F">
        <w:rPr>
          <w:rFonts w:ascii="Garamond" w:hAnsi="Garamond"/>
          <w:b/>
        </w:rPr>
        <w:t>Results</w:t>
      </w:r>
    </w:p>
    <w:p w14:paraId="0C6CBAB1" w14:textId="76D65806" w:rsidR="00605C27" w:rsidRDefault="00605C27" w:rsidP="009D57E8">
      <w:pPr>
        <w:rPr>
          <w:rFonts w:ascii="Garamond" w:hAnsi="Garamond"/>
        </w:rPr>
      </w:pPr>
      <w:r>
        <w:rPr>
          <w:rFonts w:ascii="Garamond" w:hAnsi="Garamond"/>
        </w:rPr>
        <w:t xml:space="preserve">Figures 1-4 summarize the overall results for the assessment of both learning outcomes.  </w:t>
      </w:r>
      <w:r w:rsidR="003E1C25">
        <w:rPr>
          <w:rFonts w:ascii="Garamond" w:hAnsi="Garamond"/>
        </w:rPr>
        <w:t xml:space="preserve">These figures show the total number of scores that were received for each criterion for each outcome.  </w:t>
      </w:r>
      <w:r w:rsidR="00C301B9">
        <w:rPr>
          <w:rFonts w:ascii="Garamond" w:hAnsi="Garamond"/>
        </w:rPr>
        <w:t xml:space="preserve">The “-1” category was used to indicate that reviewers did not think the criterion listed was applicable to the artifact they were reviewing.  A score of “0” indicates they thought that there was no evidence in the artifact that the outcome was achieved.  See Appendix A to view the full rubrics for each of the learning outcomes.  </w:t>
      </w:r>
    </w:p>
    <w:p w14:paraId="7EE233C9" w14:textId="77777777" w:rsidR="00DE710B" w:rsidRDefault="00DE710B" w:rsidP="009D57E8">
      <w:pPr>
        <w:rPr>
          <w:rFonts w:ascii="Garamond" w:hAnsi="Garamond"/>
        </w:rPr>
      </w:pPr>
    </w:p>
    <w:p w14:paraId="447BA4AF" w14:textId="27773EFA" w:rsidR="00E45E10" w:rsidRDefault="00C82620" w:rsidP="009D57E8">
      <w:pPr>
        <w:rPr>
          <w:rFonts w:ascii="Garamond" w:hAnsi="Garamond"/>
        </w:rPr>
      </w:pPr>
      <w:r>
        <w:rPr>
          <w:rFonts w:ascii="Garamond" w:hAnsi="Garamond"/>
        </w:rPr>
        <w:t>The distribution of scores in the figures show that students’ scores tend to average around a score of 2 or 3 and that the distribution of scores looks normal</w:t>
      </w:r>
      <w:r w:rsidR="00B90236">
        <w:rPr>
          <w:rFonts w:ascii="Garamond" w:hAnsi="Garamond"/>
        </w:rPr>
        <w:t xml:space="preserve">.  The </w:t>
      </w:r>
      <w:r>
        <w:rPr>
          <w:rFonts w:ascii="Garamond" w:hAnsi="Garamond"/>
        </w:rPr>
        <w:t xml:space="preserve">exception </w:t>
      </w:r>
      <w:r w:rsidR="00B90236">
        <w:rPr>
          <w:rFonts w:ascii="Garamond" w:hAnsi="Garamond"/>
        </w:rPr>
        <w:t xml:space="preserve">to this is the </w:t>
      </w:r>
      <w:r>
        <w:rPr>
          <w:rFonts w:ascii="Garamond" w:hAnsi="Garamond"/>
        </w:rPr>
        <w:t>“-1” scores</w:t>
      </w:r>
      <w:r w:rsidR="00B90236">
        <w:rPr>
          <w:rFonts w:ascii="Garamond" w:hAnsi="Garamond"/>
        </w:rPr>
        <w:t>,</w:t>
      </w:r>
      <w:r>
        <w:rPr>
          <w:rFonts w:ascii="Garamond" w:hAnsi="Garamond"/>
        </w:rPr>
        <w:t xml:space="preserve"> which indicate that </w:t>
      </w:r>
      <w:r w:rsidR="00E5231B">
        <w:rPr>
          <w:rFonts w:ascii="Garamond" w:hAnsi="Garamond"/>
        </w:rPr>
        <w:t>reviewers</w:t>
      </w:r>
      <w:r>
        <w:rPr>
          <w:rFonts w:ascii="Garamond" w:hAnsi="Garamond"/>
        </w:rPr>
        <w:t xml:space="preserve"> thought the artifact could not be used to score the criterion. </w:t>
      </w:r>
      <w:r w:rsidR="00E5231B">
        <w:rPr>
          <w:rFonts w:ascii="Garamond" w:hAnsi="Garamond"/>
        </w:rPr>
        <w:t xml:space="preserve">One factor contributing to the normality of the scores is the fact that we asked instructors to give us one low, two medium, and one high quality artifact.  Given that the </w:t>
      </w:r>
      <w:r w:rsidR="00AD4001">
        <w:rPr>
          <w:rFonts w:ascii="Garamond" w:hAnsi="Garamond"/>
        </w:rPr>
        <w:lastRenderedPageBreak/>
        <w:t xml:space="preserve">artifacts </w:t>
      </w:r>
      <w:r w:rsidR="00E5231B">
        <w:rPr>
          <w:rFonts w:ascii="Garamond" w:hAnsi="Garamond"/>
        </w:rPr>
        <w:t xml:space="preserve">in </w:t>
      </w:r>
      <w:r w:rsidR="00297B83">
        <w:rPr>
          <w:rFonts w:ascii="Garamond" w:hAnsi="Garamond"/>
        </w:rPr>
        <w:t>this</w:t>
      </w:r>
      <w:r w:rsidR="00E5231B">
        <w:rPr>
          <w:rFonts w:ascii="Garamond" w:hAnsi="Garamond"/>
        </w:rPr>
        <w:t xml:space="preserve"> analysis </w:t>
      </w:r>
      <w:r w:rsidR="00FF56A8">
        <w:rPr>
          <w:rFonts w:ascii="Garamond" w:hAnsi="Garamond"/>
        </w:rPr>
        <w:t>come</w:t>
      </w:r>
      <w:r w:rsidR="00E5231B">
        <w:rPr>
          <w:rFonts w:ascii="Garamond" w:hAnsi="Garamond"/>
        </w:rPr>
        <w:t xml:space="preserve"> from</w:t>
      </w:r>
      <w:r w:rsidR="00206A73">
        <w:rPr>
          <w:rFonts w:ascii="Garamond" w:hAnsi="Garamond"/>
        </w:rPr>
        <w:t>,</w:t>
      </w:r>
      <w:r w:rsidR="00E5231B">
        <w:rPr>
          <w:rFonts w:ascii="Garamond" w:hAnsi="Garamond"/>
        </w:rPr>
        <w:t xml:space="preserve"> </w:t>
      </w:r>
      <w:r w:rsidR="00206A73">
        <w:rPr>
          <w:rFonts w:ascii="Garamond" w:hAnsi="Garamond"/>
        </w:rPr>
        <w:t>on average, courses just below the</w:t>
      </w:r>
      <w:r w:rsidR="00297B83">
        <w:rPr>
          <w:rFonts w:ascii="Garamond" w:hAnsi="Garamond"/>
        </w:rPr>
        <w:t xml:space="preserve"> 3000 level</w:t>
      </w:r>
      <w:r w:rsidR="00206A73">
        <w:rPr>
          <w:rFonts w:ascii="Garamond" w:hAnsi="Garamond"/>
        </w:rPr>
        <w:t>,</w:t>
      </w:r>
      <w:r w:rsidR="00297B83">
        <w:rPr>
          <w:rFonts w:ascii="Garamond" w:hAnsi="Garamond"/>
        </w:rPr>
        <w:t xml:space="preserve"> </w:t>
      </w:r>
      <w:r w:rsidR="00E5231B">
        <w:rPr>
          <w:rFonts w:ascii="Garamond" w:hAnsi="Garamond"/>
        </w:rPr>
        <w:t xml:space="preserve">and that most </w:t>
      </w:r>
      <w:r w:rsidR="00FF56A8">
        <w:rPr>
          <w:rFonts w:ascii="Garamond" w:hAnsi="Garamond"/>
        </w:rPr>
        <w:t xml:space="preserve">of General Education is taught at the </w:t>
      </w:r>
      <w:r w:rsidR="00E5231B">
        <w:rPr>
          <w:rFonts w:ascii="Garamond" w:hAnsi="Garamond"/>
        </w:rPr>
        <w:t>1000 to 4000</w:t>
      </w:r>
      <w:r w:rsidR="00FF56A8">
        <w:rPr>
          <w:rFonts w:ascii="Garamond" w:hAnsi="Garamond"/>
        </w:rPr>
        <w:t xml:space="preserve"> level</w:t>
      </w:r>
      <w:r w:rsidR="00E5231B">
        <w:rPr>
          <w:rFonts w:ascii="Garamond" w:hAnsi="Garamond"/>
        </w:rPr>
        <w:t xml:space="preserve">, the fact that scores averaged around 2 or 3 seems </w:t>
      </w:r>
      <w:r w:rsidR="00E45E10">
        <w:rPr>
          <w:rFonts w:ascii="Garamond" w:hAnsi="Garamond"/>
        </w:rPr>
        <w:t xml:space="preserve">appropriate.  </w:t>
      </w:r>
    </w:p>
    <w:p w14:paraId="12E0E041" w14:textId="77777777" w:rsidR="00122D19" w:rsidRDefault="00122D19" w:rsidP="009D57E8">
      <w:pPr>
        <w:rPr>
          <w:rFonts w:ascii="Garamond" w:hAnsi="Garamond"/>
        </w:rPr>
      </w:pPr>
    </w:p>
    <w:p w14:paraId="16FCBC3C" w14:textId="77777777" w:rsidR="00C301B9" w:rsidRDefault="00C301B9" w:rsidP="009D57E8">
      <w:pPr>
        <w:rPr>
          <w:rFonts w:ascii="Garamond" w:hAnsi="Garamond"/>
        </w:rPr>
      </w:pPr>
    </w:p>
    <w:p w14:paraId="26CE362F" w14:textId="77777777" w:rsidR="00960927" w:rsidRDefault="00960927" w:rsidP="009D57E8">
      <w:pPr>
        <w:rPr>
          <w:rFonts w:ascii="Garamond" w:hAnsi="Garamond"/>
        </w:rPr>
      </w:pPr>
    </w:p>
    <w:p w14:paraId="614AE7BE" w14:textId="7EA99382" w:rsidR="00960927" w:rsidRPr="00C41AAF" w:rsidRDefault="00605C27" w:rsidP="009D57E8">
      <w:pPr>
        <w:rPr>
          <w:rFonts w:ascii="Garamond" w:hAnsi="Garamond"/>
        </w:rPr>
      </w:pPr>
      <w:r w:rsidRPr="00605C27">
        <w:rPr>
          <w:rFonts w:ascii="Garamond" w:hAnsi="Garamond"/>
          <w:noProof/>
        </w:rPr>
        <w:drawing>
          <wp:inline distT="0" distB="0" distL="0" distR="0" wp14:anchorId="4A8CEA99" wp14:editId="38AFDD37">
            <wp:extent cx="4852035" cy="3087557"/>
            <wp:effectExtent l="0" t="0" r="24765" b="1143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inline>
        </w:drawing>
      </w:r>
    </w:p>
    <w:p w14:paraId="2478427A" w14:textId="77777777" w:rsidR="009D57E8" w:rsidRPr="00C41AAF" w:rsidRDefault="009D57E8" w:rsidP="009D57E8">
      <w:pPr>
        <w:rPr>
          <w:rFonts w:ascii="Garamond" w:hAnsi="Garamond"/>
        </w:rPr>
      </w:pPr>
    </w:p>
    <w:p w14:paraId="349AFA38" w14:textId="77777777" w:rsidR="009D57E8" w:rsidRPr="00C41AAF" w:rsidRDefault="009D57E8" w:rsidP="009D57E8">
      <w:pPr>
        <w:rPr>
          <w:rFonts w:ascii="Garamond" w:hAnsi="Garamond"/>
        </w:rPr>
      </w:pPr>
    </w:p>
    <w:p w14:paraId="387DFD27" w14:textId="1137DC24" w:rsidR="009D57E8" w:rsidRPr="00C41AAF" w:rsidRDefault="008A74BD" w:rsidP="009D57E8">
      <w:pPr>
        <w:rPr>
          <w:rFonts w:ascii="Garamond" w:hAnsi="Garamond"/>
        </w:rPr>
      </w:pPr>
      <w:r w:rsidRPr="008A74BD">
        <w:rPr>
          <w:rFonts w:ascii="Garamond" w:hAnsi="Garamond"/>
          <w:noProof/>
        </w:rPr>
        <w:drawing>
          <wp:inline distT="0" distB="0" distL="0" distR="0" wp14:anchorId="2704F99E" wp14:editId="4F65E3CC">
            <wp:extent cx="4834303" cy="3282738"/>
            <wp:effectExtent l="0" t="0" r="17145" b="1968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14:paraId="54658D98" w14:textId="77777777" w:rsidR="002D3283" w:rsidRDefault="002D3283"/>
    <w:p w14:paraId="3171D91E" w14:textId="538C4AC0" w:rsidR="008A74BD" w:rsidRDefault="008A74BD">
      <w:r w:rsidRPr="008A74BD">
        <w:rPr>
          <w:noProof/>
        </w:rPr>
        <w:drawing>
          <wp:inline distT="0" distB="0" distL="0" distR="0" wp14:anchorId="481C821D" wp14:editId="2B5315D3">
            <wp:extent cx="4966335" cy="2979429"/>
            <wp:effectExtent l="0" t="0" r="12065" b="1778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57976E2B" w14:textId="77777777" w:rsidR="00EB0249" w:rsidRDefault="00EB0249"/>
    <w:p w14:paraId="01C47AE2" w14:textId="48DA3799" w:rsidR="00EB0249" w:rsidRDefault="00EB0249">
      <w:r w:rsidRPr="00EB0249">
        <w:rPr>
          <w:noProof/>
        </w:rPr>
        <w:drawing>
          <wp:inline distT="0" distB="0" distL="0" distR="0" wp14:anchorId="7693B5FB" wp14:editId="7471F92A">
            <wp:extent cx="4966335" cy="3275827"/>
            <wp:effectExtent l="0" t="0" r="12065" b="127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49A97C5F" w14:textId="77777777" w:rsidR="00EF0C6C" w:rsidRDefault="00EF0C6C"/>
    <w:p w14:paraId="5512C5C6" w14:textId="2CFF1F4E" w:rsidR="00B66FBC" w:rsidRDefault="00B66FBC" w:rsidP="00B66FBC">
      <w:pPr>
        <w:rPr>
          <w:rFonts w:ascii="Garamond" w:hAnsi="Garamond"/>
        </w:rPr>
      </w:pPr>
      <w:r>
        <w:rPr>
          <w:rFonts w:ascii="Garamond" w:hAnsi="Garamond"/>
        </w:rPr>
        <w:t xml:space="preserve">Because this is the first year of assessing Intercultural Knowledge and Competence, it is not obvious how to interpret those scores without having some context or comparison group.  That will be accomplished in the second year </w:t>
      </w:r>
      <w:r w:rsidR="003E62CB">
        <w:rPr>
          <w:rFonts w:ascii="Garamond" w:hAnsi="Garamond"/>
        </w:rPr>
        <w:t>that this outcome is assessed</w:t>
      </w:r>
      <w:r>
        <w:rPr>
          <w:rFonts w:ascii="Garamond" w:hAnsi="Garamond"/>
        </w:rPr>
        <w:t xml:space="preserve">.  One thing that is clear is that there were quite a few artifacts that the </w:t>
      </w:r>
      <w:r w:rsidR="003E62CB">
        <w:rPr>
          <w:rFonts w:ascii="Garamond" w:hAnsi="Garamond"/>
        </w:rPr>
        <w:t>reviewers</w:t>
      </w:r>
      <w:r>
        <w:rPr>
          <w:rFonts w:ascii="Garamond" w:hAnsi="Garamond"/>
        </w:rPr>
        <w:t xml:space="preserve"> thought could not be used to respond to the criteria, particularly the criteria of Verbal and Non-Verbal Skills, Attitudes-Openness, and Cultural Self-Awareness.  This information will be used to help us give better guidance to faculty who are </w:t>
      </w:r>
      <w:r w:rsidR="00AD1768">
        <w:rPr>
          <w:rFonts w:ascii="Garamond" w:hAnsi="Garamond"/>
        </w:rPr>
        <w:t xml:space="preserve">designing assignments and </w:t>
      </w:r>
      <w:r>
        <w:rPr>
          <w:rFonts w:ascii="Garamond" w:hAnsi="Garamond"/>
        </w:rPr>
        <w:t xml:space="preserve">submitting artifacts.  </w:t>
      </w:r>
    </w:p>
    <w:p w14:paraId="152F571E" w14:textId="77777777" w:rsidR="00B66FBC" w:rsidRDefault="00B66FBC" w:rsidP="00B66FBC">
      <w:pPr>
        <w:rPr>
          <w:rFonts w:ascii="Garamond" w:hAnsi="Garamond"/>
        </w:rPr>
      </w:pPr>
    </w:p>
    <w:p w14:paraId="2A271CAD" w14:textId="4BB434E3" w:rsidR="00815FCC" w:rsidRDefault="00402BE2" w:rsidP="00B66FBC">
      <w:pPr>
        <w:rPr>
          <w:rFonts w:ascii="Garamond" w:hAnsi="Garamond"/>
        </w:rPr>
      </w:pPr>
      <w:r>
        <w:rPr>
          <w:rFonts w:ascii="Garamond" w:hAnsi="Garamond"/>
        </w:rPr>
        <w:t xml:space="preserve">The ratings for </w:t>
      </w:r>
      <w:r w:rsidR="00B66FBC">
        <w:rPr>
          <w:rFonts w:ascii="Garamond" w:hAnsi="Garamond"/>
        </w:rPr>
        <w:t>Quantitative Literacy</w:t>
      </w:r>
      <w:r w:rsidR="00CC49B2">
        <w:rPr>
          <w:rFonts w:ascii="Garamond" w:hAnsi="Garamond"/>
        </w:rPr>
        <w:t xml:space="preserve"> </w:t>
      </w:r>
      <w:r w:rsidR="0074315A">
        <w:rPr>
          <w:rFonts w:ascii="Garamond" w:hAnsi="Garamond"/>
        </w:rPr>
        <w:t>cluster</w:t>
      </w:r>
      <w:r w:rsidR="00CC49B2">
        <w:rPr>
          <w:rFonts w:ascii="Garamond" w:hAnsi="Garamond"/>
        </w:rPr>
        <w:t xml:space="preserve"> around the 2000 and 3000 level, </w:t>
      </w:r>
      <w:r w:rsidR="00132CA8">
        <w:rPr>
          <w:rFonts w:ascii="Garamond" w:hAnsi="Garamond"/>
        </w:rPr>
        <w:t xml:space="preserve">which </w:t>
      </w:r>
      <w:r w:rsidR="00A735F8">
        <w:rPr>
          <w:rFonts w:ascii="Garamond" w:hAnsi="Garamond"/>
        </w:rPr>
        <w:t>is</w:t>
      </w:r>
      <w:r w:rsidR="00132CA8">
        <w:rPr>
          <w:rFonts w:ascii="Garamond" w:hAnsi="Garamond"/>
        </w:rPr>
        <w:t xml:space="preserve"> reasonable given that most of the artifacts in this assessment came from 3000 level courses</w:t>
      </w:r>
      <w:r w:rsidR="00A735F8">
        <w:rPr>
          <w:rFonts w:ascii="Garamond" w:hAnsi="Garamond"/>
        </w:rPr>
        <w:t xml:space="preserve"> (67% of Quantitative Literacy student artifacts came from 3000 level courses, the rest were lower than 3000 level)</w:t>
      </w:r>
      <w:r w:rsidR="00132CA8">
        <w:rPr>
          <w:rFonts w:ascii="Garamond" w:hAnsi="Garamond"/>
        </w:rPr>
        <w:t xml:space="preserve">.  </w:t>
      </w:r>
      <w:r w:rsidR="00FD5D9F">
        <w:rPr>
          <w:rFonts w:ascii="Garamond" w:hAnsi="Garamond"/>
        </w:rPr>
        <w:t xml:space="preserve">In particular, students seemed to be interpreting, representing, and calculating data </w:t>
      </w:r>
      <w:r w:rsidR="00A76975">
        <w:rPr>
          <w:rFonts w:ascii="Garamond" w:hAnsi="Garamond"/>
        </w:rPr>
        <w:t xml:space="preserve">successfully (See Figure 3, where “3” was the most common rating for these criteria), and also communicating those findings (see Figure 4).  </w:t>
      </w:r>
      <w:r w:rsidR="00132CA8">
        <w:rPr>
          <w:rFonts w:ascii="Garamond" w:hAnsi="Garamond"/>
        </w:rPr>
        <w:t xml:space="preserve">There was also a </w:t>
      </w:r>
      <w:r w:rsidR="00CC49B2">
        <w:rPr>
          <w:rFonts w:ascii="Garamond" w:hAnsi="Garamond"/>
        </w:rPr>
        <w:t xml:space="preserve">sizable portion of ratings for Not Applicable (a “-1”). </w:t>
      </w:r>
    </w:p>
    <w:p w14:paraId="10DD96D8" w14:textId="77777777" w:rsidR="00815FCC" w:rsidRDefault="00815FCC" w:rsidP="00B66FBC">
      <w:pPr>
        <w:rPr>
          <w:rFonts w:ascii="Garamond" w:hAnsi="Garamond"/>
        </w:rPr>
      </w:pPr>
    </w:p>
    <w:p w14:paraId="7D438100" w14:textId="2BDFB184" w:rsidR="00B66FBC" w:rsidRDefault="00132CA8" w:rsidP="00B66FBC">
      <w:pPr>
        <w:rPr>
          <w:rFonts w:ascii="Garamond" w:hAnsi="Garamond"/>
        </w:rPr>
      </w:pPr>
      <w:r>
        <w:rPr>
          <w:rFonts w:ascii="Garamond" w:hAnsi="Garamond"/>
        </w:rPr>
        <w:t xml:space="preserve">Because Quantitative Literacy was assessed last year, we can compare the ratings in these two years to </w:t>
      </w:r>
      <w:r w:rsidR="006D63FE">
        <w:rPr>
          <w:rFonts w:ascii="Garamond" w:hAnsi="Garamond"/>
        </w:rPr>
        <w:t>examine differences</w:t>
      </w:r>
      <w:r w:rsidR="007948BA">
        <w:rPr>
          <w:rFonts w:ascii="Garamond" w:hAnsi="Garamond"/>
        </w:rPr>
        <w:t xml:space="preserve">.  </w:t>
      </w:r>
      <w:r w:rsidR="003E62CB">
        <w:rPr>
          <w:rFonts w:ascii="Garamond" w:hAnsi="Garamond"/>
        </w:rPr>
        <w:t>The following figures show the percentage of ratings (to control for different number of artifacts examined</w:t>
      </w:r>
      <w:r w:rsidR="00682137">
        <w:rPr>
          <w:rFonts w:ascii="Garamond" w:hAnsi="Garamond"/>
        </w:rPr>
        <w:t xml:space="preserve"> in the different years</w:t>
      </w:r>
      <w:r w:rsidR="003E62CB">
        <w:rPr>
          <w:rFonts w:ascii="Garamond" w:hAnsi="Garamond"/>
        </w:rPr>
        <w:t>) that fall into each of the score categories for all six of the Quantitative Literacy criteria for both the 2015 and 2016 reviews.</w:t>
      </w:r>
    </w:p>
    <w:p w14:paraId="4605B325" w14:textId="77777777" w:rsidR="003E62CB" w:rsidRDefault="003E62CB" w:rsidP="00B66FBC">
      <w:pPr>
        <w:rPr>
          <w:rFonts w:ascii="Garamond" w:hAnsi="Garamond"/>
        </w:rPr>
      </w:pPr>
    </w:p>
    <w:p w14:paraId="1FF5F5BD" w14:textId="28513056" w:rsidR="003E62CB" w:rsidRDefault="003E62CB" w:rsidP="00B66FBC">
      <w:pPr>
        <w:rPr>
          <w:rFonts w:ascii="Garamond" w:hAnsi="Garamond"/>
        </w:rPr>
      </w:pPr>
      <w:r>
        <w:rPr>
          <w:noProof/>
        </w:rPr>
        <w:drawing>
          <wp:inline distT="0" distB="0" distL="0" distR="0" wp14:anchorId="4DB810AF" wp14:editId="1E24AECE">
            <wp:extent cx="4572000" cy="2743200"/>
            <wp:effectExtent l="0" t="0" r="0"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5BDA0FE8" w14:textId="77777777" w:rsidR="003E62CB" w:rsidRDefault="003E62CB" w:rsidP="00B66FBC">
      <w:pPr>
        <w:rPr>
          <w:rFonts w:ascii="Garamond" w:hAnsi="Garamond"/>
        </w:rPr>
      </w:pPr>
    </w:p>
    <w:p w14:paraId="13175084" w14:textId="06707027" w:rsidR="003E62CB" w:rsidRDefault="003E62CB" w:rsidP="00B66FBC">
      <w:pPr>
        <w:rPr>
          <w:rFonts w:ascii="Garamond" w:hAnsi="Garamond"/>
        </w:rPr>
      </w:pPr>
      <w:r>
        <w:rPr>
          <w:noProof/>
        </w:rPr>
        <w:drawing>
          <wp:inline distT="0" distB="0" distL="0" distR="0" wp14:anchorId="228B39B3" wp14:editId="58BD288D">
            <wp:extent cx="4572000" cy="2743200"/>
            <wp:effectExtent l="0" t="0" r="0"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247F6758" w14:textId="77777777" w:rsidR="003E62CB" w:rsidRDefault="003E62CB" w:rsidP="00B66FBC">
      <w:pPr>
        <w:rPr>
          <w:rFonts w:ascii="Garamond" w:hAnsi="Garamond"/>
        </w:rPr>
      </w:pPr>
    </w:p>
    <w:p w14:paraId="131D565B" w14:textId="56D387F4" w:rsidR="003E62CB" w:rsidRDefault="003E62CB" w:rsidP="00B66FBC">
      <w:pPr>
        <w:rPr>
          <w:rFonts w:ascii="Garamond" w:hAnsi="Garamond"/>
        </w:rPr>
      </w:pPr>
      <w:r>
        <w:rPr>
          <w:noProof/>
        </w:rPr>
        <w:drawing>
          <wp:inline distT="0" distB="0" distL="0" distR="0" wp14:anchorId="0C138C7C" wp14:editId="7B0D95E1">
            <wp:extent cx="4572000" cy="2743200"/>
            <wp:effectExtent l="0" t="0" r="0"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65E3D4AA" w14:textId="77777777" w:rsidR="003E62CB" w:rsidRDefault="003E62CB" w:rsidP="00B66FBC">
      <w:pPr>
        <w:rPr>
          <w:rFonts w:ascii="Garamond" w:hAnsi="Garamond"/>
        </w:rPr>
      </w:pPr>
    </w:p>
    <w:p w14:paraId="4C3A27A1" w14:textId="5C2325FD" w:rsidR="00B66FBC" w:rsidRDefault="003E62CB" w:rsidP="00B66FBC">
      <w:pPr>
        <w:rPr>
          <w:rFonts w:ascii="Garamond" w:hAnsi="Garamond"/>
        </w:rPr>
      </w:pPr>
      <w:r>
        <w:rPr>
          <w:noProof/>
        </w:rPr>
        <w:drawing>
          <wp:inline distT="0" distB="0" distL="0" distR="0" wp14:anchorId="4B753D71" wp14:editId="2FF4B2F1">
            <wp:extent cx="4572000" cy="2743200"/>
            <wp:effectExtent l="0" t="0" r="0" b="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5F1F7685" w14:textId="77777777" w:rsidR="00B66FBC" w:rsidRDefault="00B66FBC"/>
    <w:p w14:paraId="22B785CB" w14:textId="79CD2F1E" w:rsidR="003E62CB" w:rsidRDefault="003E62CB">
      <w:r>
        <w:rPr>
          <w:noProof/>
        </w:rPr>
        <w:drawing>
          <wp:inline distT="0" distB="0" distL="0" distR="0" wp14:anchorId="4F9591E0" wp14:editId="77B4379D">
            <wp:extent cx="4572000" cy="2743200"/>
            <wp:effectExtent l="0" t="0" r="0" b="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06152B59" w14:textId="77777777" w:rsidR="00EF0C6C" w:rsidRDefault="00EF0C6C"/>
    <w:p w14:paraId="709B6639" w14:textId="50BE0E97" w:rsidR="003E62CB" w:rsidRDefault="003E62CB">
      <w:r>
        <w:rPr>
          <w:noProof/>
        </w:rPr>
        <w:drawing>
          <wp:inline distT="0" distB="0" distL="0" distR="0" wp14:anchorId="2642A2E7" wp14:editId="20901611">
            <wp:extent cx="4572000" cy="2743200"/>
            <wp:effectExtent l="0" t="0" r="0" b="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6F4C240E" w14:textId="77777777" w:rsidR="003E62CB" w:rsidRDefault="003E62CB"/>
    <w:p w14:paraId="4E3DF61F" w14:textId="62561BDE" w:rsidR="00177AE9" w:rsidRDefault="00DF55AB" w:rsidP="00EF0C6C">
      <w:pPr>
        <w:rPr>
          <w:rFonts w:ascii="Garamond" w:hAnsi="Garamond"/>
        </w:rPr>
      </w:pPr>
      <w:r w:rsidRPr="00DF55AB">
        <w:rPr>
          <w:rFonts w:ascii="Garamond" w:hAnsi="Garamond"/>
        </w:rPr>
        <w:t xml:space="preserve">The first </w:t>
      </w:r>
      <w:r w:rsidR="00CC49B2">
        <w:rPr>
          <w:rFonts w:ascii="Garamond" w:hAnsi="Garamond"/>
        </w:rPr>
        <w:t>difference</w:t>
      </w:r>
      <w:r>
        <w:rPr>
          <w:rFonts w:ascii="Garamond" w:hAnsi="Garamond"/>
        </w:rPr>
        <w:t xml:space="preserve"> that is apparent between 2015 and 2016 is that the first three criteria – Interpretation, Representation, and Calcu</w:t>
      </w:r>
      <w:r w:rsidR="00AE0306">
        <w:rPr>
          <w:rFonts w:ascii="Garamond" w:hAnsi="Garamond"/>
        </w:rPr>
        <w:t>l</w:t>
      </w:r>
      <w:r>
        <w:rPr>
          <w:rFonts w:ascii="Garamond" w:hAnsi="Garamond"/>
        </w:rPr>
        <w:t>ation – had higher rates of “Not Applicable” ratings</w:t>
      </w:r>
      <w:r w:rsidR="00F46703">
        <w:rPr>
          <w:rFonts w:ascii="Garamond" w:hAnsi="Garamond"/>
        </w:rPr>
        <w:t xml:space="preserve"> in 2016 than in</w:t>
      </w:r>
      <w:r w:rsidR="00CC49B2">
        <w:rPr>
          <w:rFonts w:ascii="Garamond" w:hAnsi="Garamond"/>
        </w:rPr>
        <w:t xml:space="preserve"> 2015.</w:t>
      </w:r>
      <w:r w:rsidR="00D95FC2">
        <w:rPr>
          <w:rFonts w:ascii="Garamond" w:hAnsi="Garamond"/>
        </w:rPr>
        <w:t xml:space="preserve"> </w:t>
      </w:r>
      <w:r w:rsidR="00682137">
        <w:rPr>
          <w:rFonts w:ascii="Garamond" w:hAnsi="Garamond"/>
        </w:rPr>
        <w:t xml:space="preserve"> </w:t>
      </w:r>
      <w:r w:rsidR="00C55E01">
        <w:rPr>
          <w:rFonts w:ascii="Garamond" w:hAnsi="Garamond"/>
        </w:rPr>
        <w:t>One possible reason for this is that t</w:t>
      </w:r>
      <w:r w:rsidR="00682137">
        <w:rPr>
          <w:rFonts w:ascii="Garamond" w:hAnsi="Garamond"/>
        </w:rPr>
        <w:t>he instructions given to those submitting artifacts was somewhat different</w:t>
      </w:r>
      <w:r w:rsidR="00177AE9">
        <w:rPr>
          <w:rFonts w:ascii="Garamond" w:hAnsi="Garamond"/>
        </w:rPr>
        <w:t xml:space="preserve"> in the two years</w:t>
      </w:r>
      <w:r w:rsidR="00682137">
        <w:rPr>
          <w:rFonts w:ascii="Garamond" w:hAnsi="Garamond"/>
        </w:rPr>
        <w:t xml:space="preserve">.  </w:t>
      </w:r>
    </w:p>
    <w:p w14:paraId="4036A3DE" w14:textId="77777777" w:rsidR="00177AE9" w:rsidRDefault="00177AE9" w:rsidP="00EF0C6C">
      <w:pPr>
        <w:rPr>
          <w:rFonts w:ascii="Garamond" w:hAnsi="Garamond"/>
        </w:rPr>
      </w:pPr>
    </w:p>
    <w:p w14:paraId="11CF6DD3" w14:textId="512C3135" w:rsidR="00DF55AB" w:rsidRDefault="00682137" w:rsidP="00EF0C6C">
      <w:pPr>
        <w:rPr>
          <w:rFonts w:ascii="Garamond" w:hAnsi="Garamond"/>
        </w:rPr>
      </w:pPr>
      <w:r>
        <w:rPr>
          <w:rFonts w:ascii="Garamond" w:hAnsi="Garamond"/>
        </w:rPr>
        <w:t xml:space="preserve">In </w:t>
      </w:r>
      <w:r w:rsidR="00462B1E">
        <w:rPr>
          <w:rFonts w:ascii="Garamond" w:hAnsi="Garamond"/>
        </w:rPr>
        <w:t>2015 the University of Utah participated</w:t>
      </w:r>
      <w:r>
        <w:rPr>
          <w:rFonts w:ascii="Garamond" w:hAnsi="Garamond"/>
        </w:rPr>
        <w:t xml:space="preserve"> in the Multistate Collaborative to Advance Learning Outcomes Assessment </w:t>
      </w:r>
      <w:r w:rsidR="00F46703">
        <w:rPr>
          <w:rFonts w:ascii="Garamond" w:hAnsi="Garamond"/>
        </w:rPr>
        <w:t xml:space="preserve">(MSC) </w:t>
      </w:r>
      <w:r>
        <w:rPr>
          <w:rFonts w:ascii="Garamond" w:hAnsi="Garamond"/>
        </w:rPr>
        <w:t>project through the State Higher Education Executive Officer’s As</w:t>
      </w:r>
      <w:r w:rsidR="00462B1E">
        <w:rPr>
          <w:rFonts w:ascii="Garamond" w:hAnsi="Garamond"/>
        </w:rPr>
        <w:t>sociation (SHEEO) and AAC&amp;U.  T</w:t>
      </w:r>
      <w:r>
        <w:rPr>
          <w:rFonts w:ascii="Garamond" w:hAnsi="Garamond"/>
        </w:rPr>
        <w:t xml:space="preserve">he instructions to request Quantitative Literacy artifacts for those </w:t>
      </w:r>
      <w:r w:rsidR="00462B1E">
        <w:rPr>
          <w:rFonts w:ascii="Garamond" w:hAnsi="Garamond"/>
        </w:rPr>
        <w:t>courses</w:t>
      </w:r>
      <w:r>
        <w:rPr>
          <w:rFonts w:ascii="Garamond" w:hAnsi="Garamond"/>
        </w:rPr>
        <w:t xml:space="preserve"> was standardized to meet the requirements </w:t>
      </w:r>
      <w:r w:rsidR="00462B1E">
        <w:rPr>
          <w:rFonts w:ascii="Garamond" w:hAnsi="Garamond"/>
        </w:rPr>
        <w:t>of the MSC.  Also</w:t>
      </w:r>
      <w:r>
        <w:rPr>
          <w:rFonts w:ascii="Garamond" w:hAnsi="Garamond"/>
        </w:rPr>
        <w:t xml:space="preserve">, students whose artifacts were used in </w:t>
      </w:r>
      <w:r w:rsidR="00462B1E">
        <w:rPr>
          <w:rFonts w:ascii="Garamond" w:hAnsi="Garamond"/>
        </w:rPr>
        <w:t>the MSC</w:t>
      </w:r>
      <w:r>
        <w:rPr>
          <w:rFonts w:ascii="Garamond" w:hAnsi="Garamond"/>
        </w:rPr>
        <w:t xml:space="preserve"> needed to </w:t>
      </w:r>
      <w:r w:rsidR="00462B1E">
        <w:rPr>
          <w:rFonts w:ascii="Garamond" w:hAnsi="Garamond"/>
        </w:rPr>
        <w:t>have</w:t>
      </w:r>
      <w:r>
        <w:rPr>
          <w:rFonts w:ascii="Garamond" w:hAnsi="Garamond"/>
        </w:rPr>
        <w:t xml:space="preserve"> completed at least 90 credi</w:t>
      </w:r>
      <w:r w:rsidR="00CC59E8">
        <w:rPr>
          <w:rFonts w:ascii="Garamond" w:hAnsi="Garamond"/>
        </w:rPr>
        <w:t>t hours</w:t>
      </w:r>
      <w:r w:rsidR="005277A9">
        <w:rPr>
          <w:rFonts w:ascii="Garamond" w:hAnsi="Garamond"/>
        </w:rPr>
        <w:t xml:space="preserve"> toward the 122 required for their degrees</w:t>
      </w:r>
      <w:r w:rsidR="00CC59E8">
        <w:rPr>
          <w:rFonts w:ascii="Garamond" w:hAnsi="Garamond"/>
        </w:rPr>
        <w:t xml:space="preserve">.  For this reason, the artifacts tended to come from higher level courses – </w:t>
      </w:r>
      <w:r w:rsidR="000477B5">
        <w:rPr>
          <w:rFonts w:ascii="Garamond" w:hAnsi="Garamond"/>
        </w:rPr>
        <w:t>all of them were 3000 level or higher</w:t>
      </w:r>
      <w:r w:rsidR="001B37C2">
        <w:rPr>
          <w:rFonts w:ascii="Garamond" w:hAnsi="Garamond"/>
        </w:rPr>
        <w:t xml:space="preserve">, with 29% at the 4000 level and 12% at 5000.  </w:t>
      </w:r>
      <w:r w:rsidR="00CC59E8">
        <w:rPr>
          <w:rFonts w:ascii="Garamond" w:hAnsi="Garamond"/>
        </w:rPr>
        <w:t xml:space="preserve"> </w:t>
      </w:r>
    </w:p>
    <w:p w14:paraId="3159BFC5" w14:textId="77777777" w:rsidR="00CC59E8" w:rsidRDefault="00CC59E8" w:rsidP="00EF0C6C">
      <w:pPr>
        <w:rPr>
          <w:rFonts w:ascii="Garamond" w:hAnsi="Garamond"/>
        </w:rPr>
      </w:pPr>
    </w:p>
    <w:p w14:paraId="44C49096" w14:textId="766E107E" w:rsidR="00CC59E8" w:rsidRDefault="00C55E01" w:rsidP="00EF0C6C">
      <w:pPr>
        <w:rPr>
          <w:rFonts w:ascii="Garamond" w:hAnsi="Garamond"/>
        </w:rPr>
      </w:pPr>
      <w:r>
        <w:rPr>
          <w:rFonts w:ascii="Garamond" w:hAnsi="Garamond"/>
        </w:rPr>
        <w:t>It</w:t>
      </w:r>
      <w:r w:rsidR="00525C23">
        <w:rPr>
          <w:rFonts w:ascii="Garamond" w:hAnsi="Garamond"/>
        </w:rPr>
        <w:t xml:space="preserve"> is challenging </w:t>
      </w:r>
      <w:r>
        <w:rPr>
          <w:rFonts w:ascii="Garamond" w:hAnsi="Garamond"/>
        </w:rPr>
        <w:t xml:space="preserve">to compare 2015 to 2016 </w:t>
      </w:r>
      <w:r w:rsidR="00E676B8">
        <w:rPr>
          <w:rFonts w:ascii="Garamond" w:hAnsi="Garamond"/>
        </w:rPr>
        <w:t>on</w:t>
      </w:r>
      <w:r>
        <w:rPr>
          <w:rFonts w:ascii="Garamond" w:hAnsi="Garamond"/>
        </w:rPr>
        <w:t xml:space="preserve"> criteria </w:t>
      </w:r>
      <w:r w:rsidR="00E676B8">
        <w:rPr>
          <w:rFonts w:ascii="Garamond" w:hAnsi="Garamond"/>
        </w:rPr>
        <w:t>for which</w:t>
      </w:r>
      <w:r>
        <w:rPr>
          <w:rFonts w:ascii="Garamond" w:hAnsi="Garamond"/>
        </w:rPr>
        <w:t xml:space="preserve"> there were a lot of NA ratings.  But, for those criteria where there was not a large difference in NA ratings </w:t>
      </w:r>
      <w:r w:rsidR="00CC59E8">
        <w:rPr>
          <w:rFonts w:ascii="Garamond" w:hAnsi="Garamond"/>
        </w:rPr>
        <w:t xml:space="preserve">– Application and Analysis, Assumptions, and Communication </w:t>
      </w:r>
      <w:r>
        <w:rPr>
          <w:rFonts w:ascii="Garamond" w:hAnsi="Garamond"/>
        </w:rPr>
        <w:t>–</w:t>
      </w:r>
      <w:r w:rsidR="00CC59E8">
        <w:rPr>
          <w:rFonts w:ascii="Garamond" w:hAnsi="Garamond"/>
        </w:rPr>
        <w:t xml:space="preserve"> </w:t>
      </w:r>
      <w:r>
        <w:rPr>
          <w:rFonts w:ascii="Garamond" w:hAnsi="Garamond"/>
        </w:rPr>
        <w:t xml:space="preserve">the ratings were overall lower and tended to center around a rating of 2 as opposed to 3.  </w:t>
      </w:r>
    </w:p>
    <w:p w14:paraId="17442DD8" w14:textId="33B47997" w:rsidR="00CC59E8" w:rsidRDefault="000A0FE6" w:rsidP="000A0FE6">
      <w:pPr>
        <w:tabs>
          <w:tab w:val="left" w:pos="5560"/>
        </w:tabs>
        <w:rPr>
          <w:rFonts w:ascii="Garamond" w:hAnsi="Garamond"/>
        </w:rPr>
      </w:pPr>
      <w:r>
        <w:rPr>
          <w:rFonts w:ascii="Garamond" w:hAnsi="Garamond"/>
        </w:rPr>
        <w:tab/>
      </w:r>
    </w:p>
    <w:p w14:paraId="2D9F7D4E" w14:textId="3C4486D9" w:rsidR="00CC59E8" w:rsidRDefault="00CC59E8" w:rsidP="00EF0C6C">
      <w:pPr>
        <w:rPr>
          <w:rFonts w:ascii="Garamond" w:hAnsi="Garamond"/>
        </w:rPr>
      </w:pPr>
      <w:r>
        <w:rPr>
          <w:rFonts w:ascii="Garamond" w:hAnsi="Garamond"/>
        </w:rPr>
        <w:t xml:space="preserve">The </w:t>
      </w:r>
      <w:r w:rsidR="00E47091">
        <w:rPr>
          <w:rFonts w:ascii="Garamond" w:hAnsi="Garamond"/>
        </w:rPr>
        <w:t xml:space="preserve">assignments </w:t>
      </w:r>
      <w:r w:rsidR="000068E7">
        <w:rPr>
          <w:rFonts w:ascii="Garamond" w:hAnsi="Garamond"/>
        </w:rPr>
        <w:t xml:space="preserve">from </w:t>
      </w:r>
      <w:r w:rsidR="00E47091">
        <w:rPr>
          <w:rFonts w:ascii="Garamond" w:hAnsi="Garamond"/>
        </w:rPr>
        <w:t xml:space="preserve">the </w:t>
      </w:r>
      <w:r>
        <w:rPr>
          <w:rFonts w:ascii="Garamond" w:hAnsi="Garamond"/>
        </w:rPr>
        <w:t>courses</w:t>
      </w:r>
      <w:r w:rsidR="00B23B17">
        <w:rPr>
          <w:rFonts w:ascii="Garamond" w:hAnsi="Garamond"/>
        </w:rPr>
        <w:t xml:space="preserve"> </w:t>
      </w:r>
      <w:r>
        <w:rPr>
          <w:rFonts w:ascii="Garamond" w:hAnsi="Garamond"/>
        </w:rPr>
        <w:t xml:space="preserve">in the 2015 data </w:t>
      </w:r>
      <w:r w:rsidR="000068E7">
        <w:rPr>
          <w:rFonts w:ascii="Garamond" w:hAnsi="Garamond"/>
        </w:rPr>
        <w:t xml:space="preserve">(which </w:t>
      </w:r>
      <w:r w:rsidR="009A1287">
        <w:rPr>
          <w:rFonts w:ascii="Garamond" w:hAnsi="Garamond"/>
        </w:rPr>
        <w:t xml:space="preserve">include higher level courses </w:t>
      </w:r>
      <w:r w:rsidR="00A4751C">
        <w:rPr>
          <w:rFonts w:ascii="Garamond" w:hAnsi="Garamond"/>
        </w:rPr>
        <w:t xml:space="preserve">because of the MSC study </w:t>
      </w:r>
      <w:r w:rsidR="00447551">
        <w:rPr>
          <w:rFonts w:ascii="Garamond" w:hAnsi="Garamond"/>
        </w:rPr>
        <w:t xml:space="preserve">90 credit </w:t>
      </w:r>
      <w:r w:rsidR="00A4751C">
        <w:rPr>
          <w:rFonts w:ascii="Garamond" w:hAnsi="Garamond"/>
        </w:rPr>
        <w:t>requirement</w:t>
      </w:r>
      <w:r w:rsidR="009A1287">
        <w:rPr>
          <w:rFonts w:ascii="Garamond" w:hAnsi="Garamond"/>
        </w:rPr>
        <w:t xml:space="preserve">) </w:t>
      </w:r>
      <w:r w:rsidR="000A0FE6">
        <w:rPr>
          <w:rFonts w:ascii="Garamond" w:hAnsi="Garamond"/>
        </w:rPr>
        <w:t xml:space="preserve">seem more likely to require students to </w:t>
      </w:r>
      <w:r w:rsidR="00E47091">
        <w:rPr>
          <w:rFonts w:ascii="Garamond" w:hAnsi="Garamond"/>
        </w:rPr>
        <w:t>r</w:t>
      </w:r>
      <w:r>
        <w:rPr>
          <w:rFonts w:ascii="Garamond" w:hAnsi="Garamond"/>
        </w:rPr>
        <w:t xml:space="preserve">epresent their data </w:t>
      </w:r>
      <w:r w:rsidR="000A0FE6">
        <w:rPr>
          <w:rFonts w:ascii="Garamond" w:hAnsi="Garamond"/>
        </w:rPr>
        <w:t xml:space="preserve">(see </w:t>
      </w:r>
      <w:r w:rsidR="00C55E01">
        <w:rPr>
          <w:rFonts w:ascii="Garamond" w:hAnsi="Garamond"/>
        </w:rPr>
        <w:t xml:space="preserve">the NA columns in the </w:t>
      </w:r>
      <w:r w:rsidR="000A0FE6">
        <w:rPr>
          <w:rFonts w:ascii="Garamond" w:hAnsi="Garamond"/>
        </w:rPr>
        <w:t xml:space="preserve">Representation figure above), which is typically </w:t>
      </w:r>
      <w:r>
        <w:rPr>
          <w:rFonts w:ascii="Garamond" w:hAnsi="Garamond"/>
        </w:rPr>
        <w:t>through charts, figures, etc.</w:t>
      </w:r>
      <w:r w:rsidR="000A0FE6">
        <w:rPr>
          <w:rFonts w:ascii="Garamond" w:hAnsi="Garamond"/>
        </w:rPr>
        <w:t xml:space="preserve">  These assignments from higher level courses also seem more likely to have students doing actual calculation (see </w:t>
      </w:r>
      <w:r w:rsidR="00C55E01">
        <w:rPr>
          <w:rFonts w:ascii="Garamond" w:hAnsi="Garamond"/>
        </w:rPr>
        <w:t xml:space="preserve">the NA’s in the </w:t>
      </w:r>
      <w:r w:rsidR="000A0FE6">
        <w:rPr>
          <w:rFonts w:ascii="Garamond" w:hAnsi="Garamond"/>
        </w:rPr>
        <w:t xml:space="preserve">Calculation figure).  </w:t>
      </w:r>
    </w:p>
    <w:p w14:paraId="5D15E2FC" w14:textId="77777777" w:rsidR="000A0FE6" w:rsidRDefault="000A0FE6" w:rsidP="00EF0C6C">
      <w:pPr>
        <w:rPr>
          <w:rFonts w:ascii="Garamond" w:hAnsi="Garamond"/>
        </w:rPr>
      </w:pPr>
    </w:p>
    <w:p w14:paraId="5BBB43CD" w14:textId="3A079893" w:rsidR="000A0FE6" w:rsidRPr="00DF55AB" w:rsidRDefault="000A0FE6" w:rsidP="00EF0C6C">
      <w:pPr>
        <w:rPr>
          <w:rFonts w:ascii="Garamond" w:hAnsi="Garamond"/>
        </w:rPr>
      </w:pPr>
      <w:r>
        <w:rPr>
          <w:rFonts w:ascii="Garamond" w:hAnsi="Garamond"/>
        </w:rPr>
        <w:t xml:space="preserve">What seems to </w:t>
      </w:r>
      <w:r w:rsidR="0058506B">
        <w:rPr>
          <w:rFonts w:ascii="Garamond" w:hAnsi="Garamond"/>
        </w:rPr>
        <w:t xml:space="preserve">be true is that students in higher level courses are being given assignments where they are more likely to </w:t>
      </w:r>
      <w:r w:rsidR="0074315A">
        <w:rPr>
          <w:rFonts w:ascii="Garamond" w:hAnsi="Garamond"/>
        </w:rPr>
        <w:t>have the opportunity</w:t>
      </w:r>
      <w:bookmarkStart w:id="0" w:name="_GoBack"/>
      <w:bookmarkEnd w:id="0"/>
      <w:r w:rsidR="0058506B">
        <w:rPr>
          <w:rFonts w:ascii="Garamond" w:hAnsi="Garamond"/>
        </w:rPr>
        <w:t xml:space="preserve"> to demonstrate </w:t>
      </w:r>
      <w:r w:rsidR="00A4751C">
        <w:rPr>
          <w:rFonts w:ascii="Garamond" w:hAnsi="Garamond"/>
        </w:rPr>
        <w:t>a broader array of the</w:t>
      </w:r>
      <w:r w:rsidR="0058506B">
        <w:rPr>
          <w:rFonts w:ascii="Garamond" w:hAnsi="Garamond"/>
        </w:rPr>
        <w:t xml:space="preserve"> outcomes.</w:t>
      </w:r>
      <w:r w:rsidR="00A4751C">
        <w:rPr>
          <w:rFonts w:ascii="Garamond" w:hAnsi="Garamond"/>
        </w:rPr>
        <w:t xml:space="preserve">  Further study of the kinds of assignments used in both of these years could provide us with ideas for how to request assignments that can be used to regularly assess all of the outcomes.</w:t>
      </w:r>
      <w:r w:rsidR="0058506B">
        <w:rPr>
          <w:rFonts w:ascii="Garamond" w:hAnsi="Garamond"/>
        </w:rPr>
        <w:t xml:space="preserve">  </w:t>
      </w:r>
    </w:p>
    <w:p w14:paraId="034AE488" w14:textId="77777777" w:rsidR="00DF55AB" w:rsidRDefault="00DF55AB" w:rsidP="00EF0C6C">
      <w:pPr>
        <w:rPr>
          <w:rFonts w:ascii="Garamond" w:hAnsi="Garamond"/>
          <w:b/>
        </w:rPr>
      </w:pPr>
    </w:p>
    <w:p w14:paraId="4AF09A6B" w14:textId="5DB4FC96" w:rsidR="00EF0C6C" w:rsidRPr="005B0478" w:rsidRDefault="00EF0C6C" w:rsidP="00EF0C6C">
      <w:pPr>
        <w:rPr>
          <w:rFonts w:ascii="Garamond" w:hAnsi="Garamond"/>
          <w:b/>
        </w:rPr>
      </w:pPr>
      <w:r w:rsidRPr="005B0478">
        <w:rPr>
          <w:rFonts w:ascii="Garamond" w:hAnsi="Garamond"/>
          <w:b/>
        </w:rPr>
        <w:t>Interrater Reliability</w:t>
      </w:r>
      <w:r>
        <w:rPr>
          <w:rFonts w:ascii="Garamond" w:hAnsi="Garamond"/>
          <w:b/>
        </w:rPr>
        <w:t xml:space="preserve"> (IRR)</w:t>
      </w:r>
    </w:p>
    <w:p w14:paraId="0B60CFC5" w14:textId="3D7D7444" w:rsidR="00EF0C6C" w:rsidRDefault="00EF0C6C" w:rsidP="00EF0C6C">
      <w:pPr>
        <w:rPr>
          <w:rFonts w:ascii="Garamond" w:hAnsi="Garamond"/>
        </w:rPr>
      </w:pPr>
      <w:r>
        <w:rPr>
          <w:rFonts w:ascii="Garamond" w:hAnsi="Garamond"/>
        </w:rPr>
        <w:t xml:space="preserve">Figures 5 and 6 show </w:t>
      </w:r>
      <w:r w:rsidR="00A4751C">
        <w:rPr>
          <w:rFonts w:ascii="Garamond" w:hAnsi="Garamond"/>
        </w:rPr>
        <w:t>two analyses of the</w:t>
      </w:r>
      <w:r>
        <w:rPr>
          <w:rFonts w:ascii="Garamond" w:hAnsi="Garamond"/>
        </w:rPr>
        <w:t xml:space="preserve"> interrater reliability (IRR) that was achieved by the pairs of raters in this </w:t>
      </w:r>
      <w:r w:rsidR="00A4751C">
        <w:rPr>
          <w:rFonts w:ascii="Garamond" w:hAnsi="Garamond"/>
        </w:rPr>
        <w:t>study</w:t>
      </w:r>
      <w:r>
        <w:rPr>
          <w:rFonts w:ascii="Garamond" w:hAnsi="Garamond"/>
        </w:rPr>
        <w:t>.  The top bar is the average (mean) difference between the raters on all of their individual ratings.  An average difference of around 2, for example</w:t>
      </w:r>
      <w:r w:rsidR="00E713CD">
        <w:rPr>
          <w:rFonts w:ascii="Garamond" w:hAnsi="Garamond"/>
        </w:rPr>
        <w:t>, means that raters</w:t>
      </w:r>
      <w:r>
        <w:rPr>
          <w:rFonts w:ascii="Garamond" w:hAnsi="Garamond"/>
        </w:rPr>
        <w:t xml:space="preserve"> differed in their scores by an average of 2 points on the scale.  These differences include the ratings of “-1” given to the NA scores.  The other IRR score is the Spearman Rank Correlation between the two raters scores for each criterion.</w:t>
      </w:r>
    </w:p>
    <w:p w14:paraId="1C0F6454" w14:textId="77777777" w:rsidR="00EF0C6C" w:rsidRDefault="00EF0C6C" w:rsidP="00EF0C6C">
      <w:pPr>
        <w:rPr>
          <w:rFonts w:ascii="Garamond" w:hAnsi="Garamond"/>
        </w:rPr>
      </w:pPr>
    </w:p>
    <w:p w14:paraId="1588A0FE" w14:textId="50AAD072" w:rsidR="00EF0C6C" w:rsidRDefault="00EF0C6C" w:rsidP="00EF0C6C">
      <w:pPr>
        <w:rPr>
          <w:rFonts w:ascii="Garamond" w:hAnsi="Garamond"/>
        </w:rPr>
      </w:pPr>
      <w:r>
        <w:rPr>
          <w:rFonts w:ascii="Garamond" w:hAnsi="Garamond"/>
        </w:rPr>
        <w:t>The IRR scores for Intercultural Knowledge and Competence are obviously quite a bit lower, which is likely the result of this</w:t>
      </w:r>
      <w:r w:rsidR="00A4751C">
        <w:rPr>
          <w:rFonts w:ascii="Garamond" w:hAnsi="Garamond"/>
        </w:rPr>
        <w:t xml:space="preserve"> study</w:t>
      </w:r>
      <w:r>
        <w:rPr>
          <w:rFonts w:ascii="Garamond" w:hAnsi="Garamond"/>
        </w:rPr>
        <w:t xml:space="preserve"> being the first time we have assessed this outcome and thus the first time we have used the rubric. All of the mean differences </w:t>
      </w:r>
      <w:r w:rsidR="00A4751C">
        <w:rPr>
          <w:rFonts w:ascii="Garamond" w:hAnsi="Garamond"/>
        </w:rPr>
        <w:t xml:space="preserve">in scores </w:t>
      </w:r>
      <w:r>
        <w:rPr>
          <w:rFonts w:ascii="Garamond" w:hAnsi="Garamond"/>
        </w:rPr>
        <w:t xml:space="preserve">are greater than 1, and one of them is greater than 2.  </w:t>
      </w:r>
    </w:p>
    <w:p w14:paraId="3594E5C6" w14:textId="77777777" w:rsidR="00EF0C6C" w:rsidRDefault="00EF0C6C" w:rsidP="00EF0C6C">
      <w:pPr>
        <w:rPr>
          <w:rFonts w:ascii="Garamond" w:hAnsi="Garamond"/>
        </w:rPr>
      </w:pPr>
    </w:p>
    <w:p w14:paraId="2C3FAAEE" w14:textId="0662422C" w:rsidR="00EF0C6C" w:rsidRDefault="00EF0C6C" w:rsidP="00EF0C6C">
      <w:pPr>
        <w:rPr>
          <w:rFonts w:ascii="Garamond" w:hAnsi="Garamond"/>
        </w:rPr>
      </w:pPr>
      <w:r>
        <w:rPr>
          <w:rFonts w:ascii="Garamond" w:hAnsi="Garamond"/>
        </w:rPr>
        <w:t xml:space="preserve">The IRR for Quantitative Literacy, an outcome we have examined before, is noticeably higher.  None of the mean differences between raters is larger than 1 point, and some correlations are </w:t>
      </w:r>
      <w:r w:rsidR="00A4751C">
        <w:rPr>
          <w:rFonts w:ascii="Garamond" w:hAnsi="Garamond"/>
        </w:rPr>
        <w:t>as high as .83</w:t>
      </w:r>
      <w:r>
        <w:rPr>
          <w:rFonts w:ascii="Garamond" w:hAnsi="Garamond"/>
        </w:rPr>
        <w:t xml:space="preserve">, which is considered moderately good agreement.  </w:t>
      </w:r>
      <w:r w:rsidR="00E713CD">
        <w:rPr>
          <w:rFonts w:ascii="Garamond" w:hAnsi="Garamond"/>
        </w:rPr>
        <w:t xml:space="preserve">This finding is very encouraging, because it demonstrates that our process is moving us in the direction of agreement on how to apply the rubrics.   </w:t>
      </w:r>
    </w:p>
    <w:p w14:paraId="218D49AD" w14:textId="77777777" w:rsidR="00EF0C6C" w:rsidRDefault="00EF0C6C" w:rsidP="00EF0C6C">
      <w:pPr>
        <w:rPr>
          <w:rFonts w:ascii="Garamond" w:hAnsi="Garamond"/>
        </w:rPr>
      </w:pPr>
    </w:p>
    <w:p w14:paraId="7EBCDC3A" w14:textId="77777777" w:rsidR="00EF0C6C" w:rsidRDefault="00EF0C6C" w:rsidP="00EF0C6C">
      <w:pPr>
        <w:rPr>
          <w:rFonts w:ascii="Garamond" w:hAnsi="Garamond"/>
        </w:rPr>
      </w:pPr>
    </w:p>
    <w:p w14:paraId="2E598A2B" w14:textId="19D302A1" w:rsidR="00EF0C6C" w:rsidRDefault="00EF0C6C" w:rsidP="00EF0C6C">
      <w:pPr>
        <w:rPr>
          <w:rFonts w:ascii="Garamond" w:hAnsi="Garamond"/>
        </w:rPr>
      </w:pPr>
      <w:r w:rsidRPr="00EF0C6C">
        <w:rPr>
          <w:rFonts w:ascii="Garamond" w:hAnsi="Garamond"/>
          <w:noProof/>
        </w:rPr>
        <w:drawing>
          <wp:inline distT="0" distB="0" distL="0" distR="0" wp14:anchorId="4F1895FB" wp14:editId="30882155">
            <wp:extent cx="5486400" cy="3291840"/>
            <wp:effectExtent l="0" t="0" r="0" b="1016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71738FE5" w14:textId="77777777" w:rsidR="00EF0C6C" w:rsidRDefault="00EF0C6C" w:rsidP="00EF0C6C">
      <w:pPr>
        <w:rPr>
          <w:rFonts w:ascii="Garamond" w:hAnsi="Garamond"/>
          <w:b/>
        </w:rPr>
      </w:pPr>
    </w:p>
    <w:p w14:paraId="46959068" w14:textId="365C2968" w:rsidR="00EF0C6C" w:rsidRDefault="00EF0C6C" w:rsidP="00EF0C6C">
      <w:pPr>
        <w:rPr>
          <w:rFonts w:ascii="Garamond" w:hAnsi="Garamond"/>
          <w:b/>
        </w:rPr>
      </w:pPr>
      <w:r w:rsidRPr="00EF0C6C">
        <w:rPr>
          <w:rFonts w:ascii="Garamond" w:hAnsi="Garamond"/>
          <w:b/>
          <w:noProof/>
        </w:rPr>
        <w:drawing>
          <wp:inline distT="0" distB="0" distL="0" distR="0" wp14:anchorId="08AD554C" wp14:editId="32CDF680">
            <wp:extent cx="5486400" cy="3291840"/>
            <wp:effectExtent l="0" t="0" r="0" b="1016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7964321C" w14:textId="77777777" w:rsidR="00EF0C6C" w:rsidRDefault="00EF0C6C" w:rsidP="00EF0C6C">
      <w:pPr>
        <w:rPr>
          <w:rFonts w:ascii="Garamond" w:hAnsi="Garamond"/>
          <w:b/>
        </w:rPr>
      </w:pPr>
    </w:p>
    <w:p w14:paraId="445023D3" w14:textId="77777777" w:rsidR="00EF0C6C" w:rsidRPr="00E45E10" w:rsidRDefault="00EF0C6C" w:rsidP="00EF0C6C">
      <w:pPr>
        <w:rPr>
          <w:rFonts w:ascii="Garamond" w:hAnsi="Garamond"/>
          <w:b/>
        </w:rPr>
      </w:pPr>
      <w:r w:rsidRPr="00E45E10">
        <w:rPr>
          <w:rFonts w:ascii="Garamond" w:hAnsi="Garamond"/>
          <w:b/>
        </w:rPr>
        <w:t>Discussion</w:t>
      </w:r>
    </w:p>
    <w:p w14:paraId="517B3569" w14:textId="75B67464" w:rsidR="00EF0C6C" w:rsidRDefault="00A4751C" w:rsidP="00EF0C6C">
      <w:pPr>
        <w:rPr>
          <w:rFonts w:ascii="Garamond" w:hAnsi="Garamond"/>
        </w:rPr>
      </w:pPr>
      <w:r>
        <w:rPr>
          <w:rFonts w:ascii="Garamond" w:hAnsi="Garamond"/>
        </w:rPr>
        <w:t xml:space="preserve">Our assessment of </w:t>
      </w:r>
      <w:r w:rsidRPr="002A72F7">
        <w:rPr>
          <w:rFonts w:ascii="Garamond" w:hAnsi="Garamond"/>
          <w:b/>
        </w:rPr>
        <w:t>Intercultural Knowledge and Competence</w:t>
      </w:r>
      <w:r>
        <w:rPr>
          <w:rFonts w:ascii="Garamond" w:hAnsi="Garamond"/>
        </w:rPr>
        <w:t xml:space="preserve"> artifacts produced ratings that indicate students are accomplishing a level of achievement that we would expect from students in mostly 2000 level courses.  At the same time, many criteria were given “NA” ratings because of the inappropriateness of the artifact for the criteria.  </w:t>
      </w:r>
      <w:r w:rsidR="00336D29">
        <w:rPr>
          <w:rFonts w:ascii="Garamond" w:hAnsi="Garamond"/>
        </w:rPr>
        <w:t xml:space="preserve">In particular, the assignments did not seem capable of allowing students to demonstrate their </w:t>
      </w:r>
      <w:r w:rsidR="001B37C2">
        <w:rPr>
          <w:rFonts w:ascii="Garamond" w:hAnsi="Garamond"/>
        </w:rPr>
        <w:t>V</w:t>
      </w:r>
      <w:r w:rsidR="00336D29">
        <w:rPr>
          <w:rFonts w:ascii="Garamond" w:hAnsi="Garamond"/>
        </w:rPr>
        <w:t xml:space="preserve">erbal and </w:t>
      </w:r>
      <w:r w:rsidR="001B37C2">
        <w:rPr>
          <w:rFonts w:ascii="Garamond" w:hAnsi="Garamond"/>
        </w:rPr>
        <w:t>N</w:t>
      </w:r>
      <w:r w:rsidR="00336D29">
        <w:rPr>
          <w:rFonts w:ascii="Garamond" w:hAnsi="Garamond"/>
        </w:rPr>
        <w:t>on-</w:t>
      </w:r>
      <w:r w:rsidR="001B37C2">
        <w:rPr>
          <w:rFonts w:ascii="Garamond" w:hAnsi="Garamond"/>
        </w:rPr>
        <w:t>V</w:t>
      </w:r>
      <w:r w:rsidR="00336D29">
        <w:rPr>
          <w:rFonts w:ascii="Garamond" w:hAnsi="Garamond"/>
        </w:rPr>
        <w:t xml:space="preserve">erbal </w:t>
      </w:r>
      <w:r w:rsidR="001B37C2">
        <w:rPr>
          <w:rFonts w:ascii="Garamond" w:hAnsi="Garamond"/>
        </w:rPr>
        <w:t>S</w:t>
      </w:r>
      <w:r w:rsidR="00336D29">
        <w:rPr>
          <w:rFonts w:ascii="Garamond" w:hAnsi="Garamond"/>
        </w:rPr>
        <w:t xml:space="preserve">kills, </w:t>
      </w:r>
      <w:r w:rsidR="001B37C2">
        <w:rPr>
          <w:rFonts w:ascii="Garamond" w:hAnsi="Garamond"/>
        </w:rPr>
        <w:t>C</w:t>
      </w:r>
      <w:r w:rsidR="00336D29">
        <w:rPr>
          <w:rFonts w:ascii="Garamond" w:hAnsi="Garamond"/>
        </w:rPr>
        <w:t xml:space="preserve">ultural </w:t>
      </w:r>
      <w:r w:rsidR="001B37C2">
        <w:rPr>
          <w:rFonts w:ascii="Garamond" w:hAnsi="Garamond"/>
        </w:rPr>
        <w:t>S</w:t>
      </w:r>
      <w:r w:rsidR="00336D29">
        <w:rPr>
          <w:rFonts w:ascii="Garamond" w:hAnsi="Garamond"/>
        </w:rPr>
        <w:t>elf-</w:t>
      </w:r>
      <w:r w:rsidR="001B37C2">
        <w:rPr>
          <w:rFonts w:ascii="Garamond" w:hAnsi="Garamond"/>
        </w:rPr>
        <w:t>A</w:t>
      </w:r>
      <w:r w:rsidR="00336D29">
        <w:rPr>
          <w:rFonts w:ascii="Garamond" w:hAnsi="Garamond"/>
        </w:rPr>
        <w:t xml:space="preserve">wareness, and their </w:t>
      </w:r>
      <w:r w:rsidR="001B37C2">
        <w:rPr>
          <w:rFonts w:ascii="Garamond" w:hAnsi="Garamond"/>
        </w:rPr>
        <w:t>A</w:t>
      </w:r>
      <w:r w:rsidR="00336D29">
        <w:rPr>
          <w:rFonts w:ascii="Garamond" w:hAnsi="Garamond"/>
        </w:rPr>
        <w:t>ttitudes</w:t>
      </w:r>
      <w:r w:rsidR="001B37C2">
        <w:rPr>
          <w:rFonts w:ascii="Garamond" w:hAnsi="Garamond"/>
        </w:rPr>
        <w:t xml:space="preserve"> related to the Intercultural Knowledge and Competence learning outcome</w:t>
      </w:r>
      <w:r w:rsidR="00336D29">
        <w:rPr>
          <w:rFonts w:ascii="Garamond" w:hAnsi="Garamond"/>
        </w:rPr>
        <w:t xml:space="preserve">.  Also, reviewers had very low agreement on their ratings, which </w:t>
      </w:r>
      <w:r w:rsidR="00AD1768">
        <w:rPr>
          <w:rFonts w:ascii="Garamond" w:hAnsi="Garamond"/>
        </w:rPr>
        <w:t>may be the</w:t>
      </w:r>
      <w:r w:rsidR="00336D29">
        <w:rPr>
          <w:rFonts w:ascii="Garamond" w:hAnsi="Garamond"/>
        </w:rPr>
        <w:t xml:space="preserve"> result of this being the first time we have assessed this outcome.  We will initiate discussions with the General Education Curriculum </w:t>
      </w:r>
      <w:r w:rsidR="002A72F7">
        <w:rPr>
          <w:rFonts w:ascii="Garamond" w:hAnsi="Garamond"/>
        </w:rPr>
        <w:t>Committee</w:t>
      </w:r>
      <w:r w:rsidR="00336D29">
        <w:rPr>
          <w:rFonts w:ascii="Garamond" w:hAnsi="Garamond"/>
        </w:rPr>
        <w:t xml:space="preserve"> and faculty related to how we can improve the appropriateness of the assignments submitted or modify some of the criteria of the rubric.</w:t>
      </w:r>
    </w:p>
    <w:p w14:paraId="60E641CC" w14:textId="77777777" w:rsidR="00336D29" w:rsidRDefault="00336D29" w:rsidP="00EF0C6C">
      <w:pPr>
        <w:rPr>
          <w:rFonts w:ascii="Garamond" w:hAnsi="Garamond"/>
        </w:rPr>
      </w:pPr>
    </w:p>
    <w:p w14:paraId="5351EF75" w14:textId="12B4A9F3" w:rsidR="00BD31E5" w:rsidRDefault="00336D29" w:rsidP="00EF0C6C">
      <w:pPr>
        <w:rPr>
          <w:rFonts w:ascii="Garamond" w:hAnsi="Garamond"/>
        </w:rPr>
      </w:pPr>
      <w:r>
        <w:rPr>
          <w:rFonts w:ascii="Garamond" w:hAnsi="Garamond"/>
        </w:rPr>
        <w:t xml:space="preserve">The assessment of </w:t>
      </w:r>
      <w:r w:rsidRPr="002A72F7">
        <w:rPr>
          <w:rFonts w:ascii="Garamond" w:hAnsi="Garamond"/>
          <w:b/>
        </w:rPr>
        <w:t>Quantitative Literacy</w:t>
      </w:r>
      <w:r>
        <w:rPr>
          <w:rFonts w:ascii="Garamond" w:hAnsi="Garamond"/>
        </w:rPr>
        <w:t xml:space="preserve"> artifacts produced </w:t>
      </w:r>
      <w:r w:rsidR="005C472E">
        <w:rPr>
          <w:rFonts w:ascii="Garamond" w:hAnsi="Garamond"/>
        </w:rPr>
        <w:t xml:space="preserve">ratings that indicate students in the sample were performing around the 2 or 3 milestone, which, again, seems appropriate for students in </w:t>
      </w:r>
      <w:r w:rsidR="001B37C2">
        <w:rPr>
          <w:rFonts w:ascii="Garamond" w:hAnsi="Garamond"/>
        </w:rPr>
        <w:t>mostly</w:t>
      </w:r>
      <w:r w:rsidR="005C472E">
        <w:rPr>
          <w:rFonts w:ascii="Garamond" w:hAnsi="Garamond"/>
        </w:rPr>
        <w:t xml:space="preserve"> 3000 level courses at the University.  </w:t>
      </w:r>
      <w:r w:rsidR="002A72F7">
        <w:rPr>
          <w:rFonts w:ascii="Garamond" w:hAnsi="Garamond"/>
        </w:rPr>
        <w:t xml:space="preserve">It was encouraging to see higher ratings for interpreting, representing, calculating, and communicating the results of quantitative analyses. In all of these categories, the modal (most common) rating was a 3 on the 0-4 scale. </w:t>
      </w:r>
      <w:r w:rsidR="00BD31E5">
        <w:rPr>
          <w:rFonts w:ascii="Garamond" w:hAnsi="Garamond"/>
        </w:rPr>
        <w:t xml:space="preserve">This </w:t>
      </w:r>
      <w:r w:rsidR="002A72F7">
        <w:rPr>
          <w:rFonts w:ascii="Garamond" w:hAnsi="Garamond"/>
        </w:rPr>
        <w:t xml:space="preserve">pattern of responses </w:t>
      </w:r>
      <w:r w:rsidR="00BD31E5">
        <w:rPr>
          <w:rFonts w:ascii="Garamond" w:hAnsi="Garamond"/>
        </w:rPr>
        <w:t>in 2016 was the same as it was</w:t>
      </w:r>
      <w:r w:rsidR="002A72F7">
        <w:rPr>
          <w:rFonts w:ascii="Garamond" w:hAnsi="Garamond"/>
        </w:rPr>
        <w:t xml:space="preserve"> in 2015</w:t>
      </w:r>
      <w:r w:rsidR="00BD31E5">
        <w:rPr>
          <w:rFonts w:ascii="Garamond" w:hAnsi="Garamond"/>
        </w:rPr>
        <w:t>, which indicates that there is some consistency in our scores over time as well as between raters</w:t>
      </w:r>
      <w:r w:rsidR="002A72F7">
        <w:rPr>
          <w:rFonts w:ascii="Garamond" w:hAnsi="Garamond"/>
        </w:rPr>
        <w:t xml:space="preserve">. </w:t>
      </w:r>
    </w:p>
    <w:p w14:paraId="358AD0DC" w14:textId="77777777" w:rsidR="00BD31E5" w:rsidRDefault="00BD31E5" w:rsidP="00EF0C6C">
      <w:pPr>
        <w:rPr>
          <w:rFonts w:ascii="Garamond" w:hAnsi="Garamond"/>
        </w:rPr>
      </w:pPr>
    </w:p>
    <w:p w14:paraId="2EA22443" w14:textId="37E88800" w:rsidR="002A72F7" w:rsidRDefault="00BD31E5" w:rsidP="00EF0C6C">
      <w:pPr>
        <w:rPr>
          <w:rFonts w:ascii="Garamond" w:hAnsi="Garamond"/>
        </w:rPr>
      </w:pPr>
      <w:r>
        <w:rPr>
          <w:rFonts w:ascii="Garamond" w:hAnsi="Garamond"/>
        </w:rPr>
        <w:t xml:space="preserve">The Quantitative Literacy </w:t>
      </w:r>
      <w:r w:rsidR="005C472E">
        <w:rPr>
          <w:rFonts w:ascii="Garamond" w:hAnsi="Garamond"/>
        </w:rPr>
        <w:t xml:space="preserve">results can be stated with greater confidence because of the higher level of interrater reliability that was established between raters, indicating that there was decent agreement on the ratings.  </w:t>
      </w:r>
      <w:r w:rsidR="002A72F7">
        <w:rPr>
          <w:rFonts w:ascii="Garamond" w:hAnsi="Garamond"/>
        </w:rPr>
        <w:t>There w</w:t>
      </w:r>
      <w:r w:rsidR="006F333F">
        <w:rPr>
          <w:rFonts w:ascii="Garamond" w:hAnsi="Garamond"/>
        </w:rPr>
        <w:t>ere</w:t>
      </w:r>
      <w:r w:rsidR="002A72F7">
        <w:rPr>
          <w:rFonts w:ascii="Garamond" w:hAnsi="Garamond"/>
        </w:rPr>
        <w:t xml:space="preserve"> still a disappointing percentage of NA ratings on the Representation (.29), Calculation (.35), and Assumptions (.29) criteria.  This fact should also be discussed in committee to determine if we can improve the appropriateness of artifacts or amend the criteria of the rubric.</w:t>
      </w:r>
    </w:p>
    <w:p w14:paraId="752C98D8" w14:textId="77777777" w:rsidR="00EF0C6C" w:rsidRDefault="00EF0C6C"/>
    <w:sectPr w:rsidR="00EF0C6C" w:rsidSect="0081561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Yu Mincho">
    <w:panose1 w:val="02020400000000000000"/>
    <w:charset w:val="80"/>
    <w:family w:val="auto"/>
    <w:pitch w:val="variable"/>
    <w:sig w:usb0="800002E7" w:usb1="2AC7FCFF"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Garamond">
    <w:panose1 w:val="020204040303010108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7E8"/>
    <w:rsid w:val="000068E7"/>
    <w:rsid w:val="000477B5"/>
    <w:rsid w:val="000A0FE6"/>
    <w:rsid w:val="000B7E4D"/>
    <w:rsid w:val="00114A80"/>
    <w:rsid w:val="00122D19"/>
    <w:rsid w:val="00132CA8"/>
    <w:rsid w:val="00177AE9"/>
    <w:rsid w:val="001B37C2"/>
    <w:rsid w:val="001E2B22"/>
    <w:rsid w:val="00206A73"/>
    <w:rsid w:val="00297B83"/>
    <w:rsid w:val="002A72F7"/>
    <w:rsid w:val="002C2B47"/>
    <w:rsid w:val="002D3283"/>
    <w:rsid w:val="00336B67"/>
    <w:rsid w:val="00336D29"/>
    <w:rsid w:val="003674F6"/>
    <w:rsid w:val="003E1C25"/>
    <w:rsid w:val="003E62CB"/>
    <w:rsid w:val="00402BE2"/>
    <w:rsid w:val="004342EC"/>
    <w:rsid w:val="00447551"/>
    <w:rsid w:val="00462B1E"/>
    <w:rsid w:val="004A4A34"/>
    <w:rsid w:val="004F30F9"/>
    <w:rsid w:val="00525C23"/>
    <w:rsid w:val="005277A9"/>
    <w:rsid w:val="0058506B"/>
    <w:rsid w:val="005B0478"/>
    <w:rsid w:val="005C472E"/>
    <w:rsid w:val="005D64A3"/>
    <w:rsid w:val="00605C27"/>
    <w:rsid w:val="00682137"/>
    <w:rsid w:val="006A6BDD"/>
    <w:rsid w:val="006D63FE"/>
    <w:rsid w:val="006F333F"/>
    <w:rsid w:val="00723C3F"/>
    <w:rsid w:val="0072427B"/>
    <w:rsid w:val="0074315A"/>
    <w:rsid w:val="007948BA"/>
    <w:rsid w:val="007C356A"/>
    <w:rsid w:val="0081561C"/>
    <w:rsid w:val="00815FCC"/>
    <w:rsid w:val="0085455E"/>
    <w:rsid w:val="0089230D"/>
    <w:rsid w:val="008A74BD"/>
    <w:rsid w:val="008B150E"/>
    <w:rsid w:val="008C4C19"/>
    <w:rsid w:val="00944A7D"/>
    <w:rsid w:val="00960927"/>
    <w:rsid w:val="009A1287"/>
    <w:rsid w:val="009D57E8"/>
    <w:rsid w:val="00A4751C"/>
    <w:rsid w:val="00A735F8"/>
    <w:rsid w:val="00A76975"/>
    <w:rsid w:val="00A94DB2"/>
    <w:rsid w:val="00AD1768"/>
    <w:rsid w:val="00AD4001"/>
    <w:rsid w:val="00AE0306"/>
    <w:rsid w:val="00B23B17"/>
    <w:rsid w:val="00B62B48"/>
    <w:rsid w:val="00B6621E"/>
    <w:rsid w:val="00B66FBC"/>
    <w:rsid w:val="00B90236"/>
    <w:rsid w:val="00BD31E5"/>
    <w:rsid w:val="00BE3DAB"/>
    <w:rsid w:val="00C16CDC"/>
    <w:rsid w:val="00C301B9"/>
    <w:rsid w:val="00C471AA"/>
    <w:rsid w:val="00C55E01"/>
    <w:rsid w:val="00C82620"/>
    <w:rsid w:val="00CC49B2"/>
    <w:rsid w:val="00CC59E8"/>
    <w:rsid w:val="00D064F2"/>
    <w:rsid w:val="00D13BFE"/>
    <w:rsid w:val="00D213DD"/>
    <w:rsid w:val="00D21F06"/>
    <w:rsid w:val="00D95FC2"/>
    <w:rsid w:val="00DE710B"/>
    <w:rsid w:val="00DF55AB"/>
    <w:rsid w:val="00E45E10"/>
    <w:rsid w:val="00E47091"/>
    <w:rsid w:val="00E5231B"/>
    <w:rsid w:val="00E66FB7"/>
    <w:rsid w:val="00E676B8"/>
    <w:rsid w:val="00E713CD"/>
    <w:rsid w:val="00EB0249"/>
    <w:rsid w:val="00EF0C6C"/>
    <w:rsid w:val="00F17A8D"/>
    <w:rsid w:val="00F46703"/>
    <w:rsid w:val="00F70FBB"/>
    <w:rsid w:val="00FD5D9F"/>
    <w:rsid w:val="00FF56A8"/>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8D62FD"/>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D57E8"/>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unhideWhenUsed/>
    <w:rsid w:val="00D213DD"/>
    <w:rPr>
      <w:rFonts w:ascii="Times New Roman" w:hAnsi="Times New Roman" w:cs="Times New Roman"/>
    </w:rPr>
  </w:style>
  <w:style w:type="character" w:customStyle="1" w:styleId="DocumentMapChar">
    <w:name w:val="Document Map Char"/>
    <w:basedOn w:val="DefaultParagraphFont"/>
    <w:link w:val="DocumentMap"/>
    <w:uiPriority w:val="99"/>
    <w:semiHidden/>
    <w:rsid w:val="00D213DD"/>
    <w:rPr>
      <w:rFonts w:ascii="Times New Roman" w:eastAsiaTheme="minorEastAsia" w:hAnsi="Times New Roman" w:cs="Times New Roman"/>
    </w:rPr>
  </w:style>
  <w:style w:type="paragraph" w:styleId="BalloonText">
    <w:name w:val="Balloon Text"/>
    <w:basedOn w:val="Normal"/>
    <w:link w:val="BalloonTextChar"/>
    <w:uiPriority w:val="99"/>
    <w:semiHidden/>
    <w:unhideWhenUsed/>
    <w:rsid w:val="0081561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1561C"/>
    <w:rPr>
      <w:rFonts w:ascii="Lucida Grande" w:eastAsiaTheme="minorEastAsia" w:hAnsi="Lucida Grande" w:cs="Lucida Grande"/>
      <w:sz w:val="18"/>
      <w:szCs w:val="18"/>
    </w:rPr>
  </w:style>
  <w:style w:type="character" w:styleId="CommentReference">
    <w:name w:val="annotation reference"/>
    <w:basedOn w:val="DefaultParagraphFont"/>
    <w:uiPriority w:val="99"/>
    <w:semiHidden/>
    <w:unhideWhenUsed/>
    <w:rsid w:val="00AD1768"/>
    <w:rPr>
      <w:sz w:val="18"/>
      <w:szCs w:val="18"/>
    </w:rPr>
  </w:style>
  <w:style w:type="paragraph" w:styleId="CommentText">
    <w:name w:val="annotation text"/>
    <w:basedOn w:val="Normal"/>
    <w:link w:val="CommentTextChar"/>
    <w:uiPriority w:val="99"/>
    <w:semiHidden/>
    <w:unhideWhenUsed/>
    <w:rsid w:val="00AD1768"/>
  </w:style>
  <w:style w:type="character" w:customStyle="1" w:styleId="CommentTextChar">
    <w:name w:val="Comment Text Char"/>
    <w:basedOn w:val="DefaultParagraphFont"/>
    <w:link w:val="CommentText"/>
    <w:uiPriority w:val="99"/>
    <w:semiHidden/>
    <w:rsid w:val="00AD1768"/>
    <w:rPr>
      <w:rFonts w:eastAsiaTheme="minorEastAsia"/>
    </w:rPr>
  </w:style>
  <w:style w:type="paragraph" w:styleId="CommentSubject">
    <w:name w:val="annotation subject"/>
    <w:basedOn w:val="CommentText"/>
    <w:next w:val="CommentText"/>
    <w:link w:val="CommentSubjectChar"/>
    <w:uiPriority w:val="99"/>
    <w:semiHidden/>
    <w:unhideWhenUsed/>
    <w:rsid w:val="00AD1768"/>
    <w:rPr>
      <w:b/>
      <w:bCs/>
      <w:sz w:val="20"/>
      <w:szCs w:val="20"/>
    </w:rPr>
  </w:style>
  <w:style w:type="character" w:customStyle="1" w:styleId="CommentSubjectChar">
    <w:name w:val="Comment Subject Char"/>
    <w:basedOn w:val="CommentTextChar"/>
    <w:link w:val="CommentSubject"/>
    <w:uiPriority w:val="99"/>
    <w:semiHidden/>
    <w:rsid w:val="00AD1768"/>
    <w:rPr>
      <w:rFonts w:eastAsiaTheme="minorEastAs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chart" Target="charts/chart8.xml"/><Relationship Id="rId12" Type="http://schemas.openxmlformats.org/officeDocument/2006/relationships/chart" Target="charts/chart9.xml"/><Relationship Id="rId13" Type="http://schemas.openxmlformats.org/officeDocument/2006/relationships/chart" Target="charts/chart10.xml"/><Relationship Id="rId14" Type="http://schemas.openxmlformats.org/officeDocument/2006/relationships/chart" Target="charts/chart11.xml"/><Relationship Id="rId15" Type="http://schemas.openxmlformats.org/officeDocument/2006/relationships/chart" Target="charts/chart1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chart" Target="charts/chart1.xml"/><Relationship Id="rId5" Type="http://schemas.openxmlformats.org/officeDocument/2006/relationships/chart" Target="charts/chart2.xml"/><Relationship Id="rId6" Type="http://schemas.openxmlformats.org/officeDocument/2006/relationships/chart" Target="charts/chart3.xml"/><Relationship Id="rId7" Type="http://schemas.openxmlformats.org/officeDocument/2006/relationships/chart" Target="charts/chart4.xml"/><Relationship Id="rId8" Type="http://schemas.openxmlformats.org/officeDocument/2006/relationships/chart" Target="charts/chart5.xml"/><Relationship Id="rId9" Type="http://schemas.openxmlformats.org/officeDocument/2006/relationships/chart" Target="charts/chart6.xml"/><Relationship Id="rId10" Type="http://schemas.openxmlformats.org/officeDocument/2006/relationships/chart" Target="charts/chart7.xml"/></Relationships>
</file>

<file path=word/charts/_rels/chart1.xml.rels><?xml version="1.0" encoding="UTF-8" standalone="yes"?>
<Relationships xmlns="http://schemas.openxmlformats.org/package/2006/relationships"><Relationship Id="rId1" Type="http://schemas.openxmlformats.org/officeDocument/2006/relationships/themeOverride" Target="../theme/themeOverride1.xml"/><Relationship Id="rId2" Type="http://schemas.openxmlformats.org/officeDocument/2006/relationships/oleObject" Target="file://localhost/Users/u0123244/Box%20Sync/General%20Education/Learning%20Outcomes/Spring%202016%20LO%20Assessment/Results/Analysis%20Worksheet.xlsx" TargetMode="External"/></Relationships>
</file>

<file path=word/charts/_rels/chart10.xml.rels><?xml version="1.0" encoding="UTF-8" standalone="yes"?>
<Relationships xmlns="http://schemas.openxmlformats.org/package/2006/relationships"><Relationship Id="rId1" Type="http://schemas.microsoft.com/office/2011/relationships/chartStyle" Target="style6.xml"/><Relationship Id="rId2" Type="http://schemas.microsoft.com/office/2011/relationships/chartColorStyle" Target="colors6.xml"/><Relationship Id="rId3" Type="http://schemas.openxmlformats.org/officeDocument/2006/relationships/oleObject" Target="file://localhost/Users/u0123244/Box%20Sync/General%20Education/Learning%20Outcomes/Spring%202016%20LO%20Assessment/Results/Analysis%20Worksheet.xlsx" TargetMode="External"/></Relationships>
</file>

<file path=word/charts/_rels/chart11.xml.rels><?xml version="1.0" encoding="UTF-8" standalone="yes"?>
<Relationships xmlns="http://schemas.openxmlformats.org/package/2006/relationships"><Relationship Id="rId1" Type="http://schemas.openxmlformats.org/officeDocument/2006/relationships/themeOverride" Target="../theme/themeOverride5.xml"/><Relationship Id="rId2" Type="http://schemas.openxmlformats.org/officeDocument/2006/relationships/oleObject" Target="file://localhost/Users/u0123244/Box%20Sync/General%20Education/Learning%20Outcomes/Spring%202016%20LO%20Assessment/Results/Analysis%20Worksheet.xlsx" TargetMode="External"/></Relationships>
</file>

<file path=word/charts/_rels/chart12.xml.rels><?xml version="1.0" encoding="UTF-8" standalone="yes"?>
<Relationships xmlns="http://schemas.openxmlformats.org/package/2006/relationships"><Relationship Id="rId1" Type="http://schemas.openxmlformats.org/officeDocument/2006/relationships/themeOverride" Target="../theme/themeOverride6.xml"/><Relationship Id="rId2" Type="http://schemas.openxmlformats.org/officeDocument/2006/relationships/oleObject" Target="file://localhost/Users/u0123244/Box%20Sync/General%20Education/Learning%20Outcomes/Spring%202016%20LO%20Assessment/Results/Analysis%20Worksheet.xlsx" TargetMode="External"/></Relationships>
</file>

<file path=word/charts/_rels/chart2.xml.rels><?xml version="1.0" encoding="UTF-8" standalone="yes"?>
<Relationships xmlns="http://schemas.openxmlformats.org/package/2006/relationships"><Relationship Id="rId1" Type="http://schemas.openxmlformats.org/officeDocument/2006/relationships/themeOverride" Target="../theme/themeOverride2.xml"/><Relationship Id="rId2" Type="http://schemas.openxmlformats.org/officeDocument/2006/relationships/oleObject" Target="file://localhost/Users/u0123244/Box%20Sync/General%20Education/Learning%20Outcomes/Spring%202016%20LO%20Assessment/Results/Analysis%20Worksheet.xlsx" TargetMode="External"/></Relationships>
</file>

<file path=word/charts/_rels/chart3.xml.rels><?xml version="1.0" encoding="UTF-8" standalone="yes"?>
<Relationships xmlns="http://schemas.openxmlformats.org/package/2006/relationships"><Relationship Id="rId1" Type="http://schemas.openxmlformats.org/officeDocument/2006/relationships/themeOverride" Target="../theme/themeOverride3.xml"/><Relationship Id="rId2" Type="http://schemas.openxmlformats.org/officeDocument/2006/relationships/oleObject" Target="file://localhost/Users/u0123244/Box%20Sync/General%20Education/Learning%20Outcomes/Spring%202016%20LO%20Assessment/Results/Analysis%20Worksheet.xlsx" TargetMode="External"/></Relationships>
</file>

<file path=word/charts/_rels/chart4.xml.rels><?xml version="1.0" encoding="UTF-8" standalone="yes"?>
<Relationships xmlns="http://schemas.openxmlformats.org/package/2006/relationships"><Relationship Id="rId1" Type="http://schemas.openxmlformats.org/officeDocument/2006/relationships/themeOverride" Target="../theme/themeOverride4.xml"/><Relationship Id="rId2" Type="http://schemas.openxmlformats.org/officeDocument/2006/relationships/oleObject" Target="file://localhost/Users/u0123244/Box%20Sync/General%20Education/Learning%20Outcomes/Spring%202016%20LO%20Assessment/Results/Analysis%20Worksheet.xlsx" TargetMode="External"/></Relationships>
</file>

<file path=word/charts/_rels/chart5.xml.rels><?xml version="1.0" encoding="UTF-8" standalone="yes"?>
<Relationships xmlns="http://schemas.openxmlformats.org/package/2006/relationships"><Relationship Id="rId1" Type="http://schemas.microsoft.com/office/2011/relationships/chartStyle" Target="style1.xml"/><Relationship Id="rId2" Type="http://schemas.microsoft.com/office/2011/relationships/chartColorStyle" Target="colors1.xml"/><Relationship Id="rId3" Type="http://schemas.openxmlformats.org/officeDocument/2006/relationships/oleObject" Target="file://localhost/Users/u0123244/Box%20Sync/General%20Education/Learning%20Outcomes/Spring%202016%20LO%20Assessment/Results/Analysis%20Worksheet.xlsx" TargetMode="External"/></Relationships>
</file>

<file path=word/charts/_rels/chart6.xml.rels><?xml version="1.0" encoding="UTF-8" standalone="yes"?>
<Relationships xmlns="http://schemas.openxmlformats.org/package/2006/relationships"><Relationship Id="rId1" Type="http://schemas.microsoft.com/office/2011/relationships/chartStyle" Target="style2.xml"/><Relationship Id="rId2" Type="http://schemas.microsoft.com/office/2011/relationships/chartColorStyle" Target="colors2.xml"/><Relationship Id="rId3" Type="http://schemas.openxmlformats.org/officeDocument/2006/relationships/oleObject" Target="file://localhost/Users/u0123244/Box%20Sync/General%20Education/Learning%20Outcomes/Spring%202016%20LO%20Assessment/Results/Analysis%20Worksheet.xlsx" TargetMode="External"/></Relationships>
</file>

<file path=word/charts/_rels/chart7.xml.rels><?xml version="1.0" encoding="UTF-8" standalone="yes"?>
<Relationships xmlns="http://schemas.openxmlformats.org/package/2006/relationships"><Relationship Id="rId1" Type="http://schemas.microsoft.com/office/2011/relationships/chartStyle" Target="style3.xml"/><Relationship Id="rId2" Type="http://schemas.microsoft.com/office/2011/relationships/chartColorStyle" Target="colors3.xml"/><Relationship Id="rId3" Type="http://schemas.openxmlformats.org/officeDocument/2006/relationships/oleObject" Target="file://localhost/Users/u0123244/Box%20Sync/General%20Education/Learning%20Outcomes/Spring%202016%20LO%20Assessment/Results/Analysis%20Worksheet.xlsx" TargetMode="External"/></Relationships>
</file>

<file path=word/charts/_rels/chart8.xml.rels><?xml version="1.0" encoding="UTF-8" standalone="yes"?>
<Relationships xmlns="http://schemas.openxmlformats.org/package/2006/relationships"><Relationship Id="rId1" Type="http://schemas.microsoft.com/office/2011/relationships/chartStyle" Target="style4.xml"/><Relationship Id="rId2" Type="http://schemas.microsoft.com/office/2011/relationships/chartColorStyle" Target="colors4.xml"/><Relationship Id="rId3" Type="http://schemas.openxmlformats.org/officeDocument/2006/relationships/oleObject" Target="file://localhost/Users/u0123244/Box%20Sync/General%20Education/Learning%20Outcomes/Spring%202016%20LO%20Assessment/Results/Analysis%20Worksheet.xlsx" TargetMode="External"/></Relationships>
</file>

<file path=word/charts/_rels/chart9.xml.rels><?xml version="1.0" encoding="UTF-8" standalone="yes"?>
<Relationships xmlns="http://schemas.openxmlformats.org/package/2006/relationships"><Relationship Id="rId1" Type="http://schemas.microsoft.com/office/2011/relationships/chartStyle" Target="style5.xml"/><Relationship Id="rId2" Type="http://schemas.microsoft.com/office/2011/relationships/chartColorStyle" Target="colors5.xml"/><Relationship Id="rId3" Type="http://schemas.openxmlformats.org/officeDocument/2006/relationships/oleObject" Target="file://localhost/Users/u0123244/Box%20Sync/General%20Education/Learning%20Outcomes/Spring%202016%20LO%20Assessment/Results/Analysis%20Workshee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lrMapOvr bg1="dk2" tx1="lt1" bg2="dk1" tx2="lt2" accent1="accent1" accent2="accent2" accent3="accent3" accent4="accent4" accent5="accent5" accent6="accent6" hlink="hlink" folHlink="folHlink"/>
  <c:chart>
    <c:title>
      <c:tx>
        <c:rich>
          <a:bodyPr/>
          <a:lstStyle/>
          <a:p>
            <a:pPr>
              <a:defRPr sz="1600"/>
            </a:pPr>
            <a:r>
              <a:rPr lang="en-US" sz="1600"/>
              <a:t>Figure 1: Intercultural Knowledge </a:t>
            </a:r>
            <a:r>
              <a:rPr lang="en-US" sz="1600" baseline="0"/>
              <a:t>and Competence: Criteria 1-3</a:t>
            </a:r>
          </a:p>
        </c:rich>
      </c:tx>
      <c:overlay val="0"/>
    </c:title>
    <c:autoTitleDeleted val="0"/>
    <c:plotArea>
      <c:layout/>
      <c:barChart>
        <c:barDir val="col"/>
        <c:grouping val="clustered"/>
        <c:varyColors val="0"/>
        <c:ser>
          <c:idx val="0"/>
          <c:order val="0"/>
          <c:tx>
            <c:strRef>
              <c:f>Sheet1!$B$3</c:f>
              <c:strCache>
                <c:ptCount val="1"/>
                <c:pt idx="0">
                  <c:v>Cultural Self-Awareness</c:v>
                </c:pt>
              </c:strCache>
            </c:strRef>
          </c:tx>
          <c:invertIfNegative val="0"/>
          <c:cat>
            <c:numRef>
              <c:f>Sheet1!$C$2:$H$2</c:f>
              <c:numCache>
                <c:formatCode>General</c:formatCode>
                <c:ptCount val="6"/>
                <c:pt idx="0">
                  <c:v>-1.0</c:v>
                </c:pt>
                <c:pt idx="1">
                  <c:v>0.0</c:v>
                </c:pt>
                <c:pt idx="2">
                  <c:v>1.0</c:v>
                </c:pt>
                <c:pt idx="3">
                  <c:v>2.0</c:v>
                </c:pt>
                <c:pt idx="4">
                  <c:v>3.0</c:v>
                </c:pt>
                <c:pt idx="5">
                  <c:v>4.0</c:v>
                </c:pt>
              </c:numCache>
            </c:numRef>
          </c:cat>
          <c:val>
            <c:numRef>
              <c:f>Sheet1!$C$3:$H$3</c:f>
              <c:numCache>
                <c:formatCode>General</c:formatCode>
                <c:ptCount val="6"/>
                <c:pt idx="0">
                  <c:v>27.0</c:v>
                </c:pt>
                <c:pt idx="1">
                  <c:v>14.0</c:v>
                </c:pt>
                <c:pt idx="2">
                  <c:v>19.0</c:v>
                </c:pt>
                <c:pt idx="3">
                  <c:v>15.0</c:v>
                </c:pt>
                <c:pt idx="4">
                  <c:v>27.0</c:v>
                </c:pt>
                <c:pt idx="5">
                  <c:v>10.0</c:v>
                </c:pt>
              </c:numCache>
            </c:numRef>
          </c:val>
        </c:ser>
        <c:ser>
          <c:idx val="1"/>
          <c:order val="1"/>
          <c:tx>
            <c:strRef>
              <c:f>Sheet1!$B$4</c:f>
              <c:strCache>
                <c:ptCount val="1"/>
                <c:pt idx="0">
                  <c:v>Cultural Worldview</c:v>
                </c:pt>
              </c:strCache>
            </c:strRef>
          </c:tx>
          <c:spPr>
            <a:solidFill>
              <a:srgbClr val="FF6600"/>
            </a:solidFill>
            <a:ln>
              <a:solidFill>
                <a:srgbClr val="008000"/>
              </a:solidFill>
            </a:ln>
          </c:spPr>
          <c:invertIfNegative val="0"/>
          <c:cat>
            <c:numRef>
              <c:f>Sheet1!$C$2:$H$2</c:f>
              <c:numCache>
                <c:formatCode>General</c:formatCode>
                <c:ptCount val="6"/>
                <c:pt idx="0">
                  <c:v>-1.0</c:v>
                </c:pt>
                <c:pt idx="1">
                  <c:v>0.0</c:v>
                </c:pt>
                <c:pt idx="2">
                  <c:v>1.0</c:v>
                </c:pt>
                <c:pt idx="3">
                  <c:v>2.0</c:v>
                </c:pt>
                <c:pt idx="4">
                  <c:v>3.0</c:v>
                </c:pt>
                <c:pt idx="5">
                  <c:v>4.0</c:v>
                </c:pt>
              </c:numCache>
            </c:numRef>
          </c:cat>
          <c:val>
            <c:numRef>
              <c:f>Sheet1!$C$4:$H$4</c:f>
              <c:numCache>
                <c:formatCode>General</c:formatCode>
                <c:ptCount val="6"/>
                <c:pt idx="0">
                  <c:v>5.0</c:v>
                </c:pt>
                <c:pt idx="1">
                  <c:v>9.0</c:v>
                </c:pt>
                <c:pt idx="2">
                  <c:v>25.0</c:v>
                </c:pt>
                <c:pt idx="3">
                  <c:v>25.0</c:v>
                </c:pt>
                <c:pt idx="4">
                  <c:v>35.0</c:v>
                </c:pt>
                <c:pt idx="5">
                  <c:v>13.0</c:v>
                </c:pt>
              </c:numCache>
            </c:numRef>
          </c:val>
        </c:ser>
        <c:ser>
          <c:idx val="2"/>
          <c:order val="2"/>
          <c:tx>
            <c:strRef>
              <c:f>Sheet1!$B$5</c:f>
              <c:strCache>
                <c:ptCount val="1"/>
                <c:pt idx="0">
                  <c:v>Skills-Empathy</c:v>
                </c:pt>
              </c:strCache>
            </c:strRef>
          </c:tx>
          <c:spPr>
            <a:solidFill>
              <a:srgbClr val="3366FF"/>
            </a:solidFill>
          </c:spPr>
          <c:invertIfNegative val="0"/>
          <c:cat>
            <c:numRef>
              <c:f>Sheet1!$C$2:$H$2</c:f>
              <c:numCache>
                <c:formatCode>General</c:formatCode>
                <c:ptCount val="6"/>
                <c:pt idx="0">
                  <c:v>-1.0</c:v>
                </c:pt>
                <c:pt idx="1">
                  <c:v>0.0</c:v>
                </c:pt>
                <c:pt idx="2">
                  <c:v>1.0</c:v>
                </c:pt>
                <c:pt idx="3">
                  <c:v>2.0</c:v>
                </c:pt>
                <c:pt idx="4">
                  <c:v>3.0</c:v>
                </c:pt>
                <c:pt idx="5">
                  <c:v>4.0</c:v>
                </c:pt>
              </c:numCache>
            </c:numRef>
          </c:cat>
          <c:val>
            <c:numRef>
              <c:f>Sheet1!$C$5:$H$5</c:f>
              <c:numCache>
                <c:formatCode>General</c:formatCode>
                <c:ptCount val="6"/>
                <c:pt idx="0">
                  <c:v>14.0</c:v>
                </c:pt>
                <c:pt idx="1">
                  <c:v>4.0</c:v>
                </c:pt>
                <c:pt idx="2">
                  <c:v>21.0</c:v>
                </c:pt>
                <c:pt idx="3">
                  <c:v>22.0</c:v>
                </c:pt>
                <c:pt idx="4">
                  <c:v>31.0</c:v>
                </c:pt>
                <c:pt idx="5">
                  <c:v>20.0</c:v>
                </c:pt>
              </c:numCache>
            </c:numRef>
          </c:val>
        </c:ser>
        <c:dLbls>
          <c:showLegendKey val="0"/>
          <c:showVal val="0"/>
          <c:showCatName val="0"/>
          <c:showSerName val="0"/>
          <c:showPercent val="0"/>
          <c:showBubbleSize val="0"/>
        </c:dLbls>
        <c:gapWidth val="150"/>
        <c:axId val="-249426976"/>
        <c:axId val="-249432080"/>
      </c:barChart>
      <c:catAx>
        <c:axId val="-249426976"/>
        <c:scaling>
          <c:orientation val="minMax"/>
        </c:scaling>
        <c:delete val="0"/>
        <c:axPos val="b"/>
        <c:numFmt formatCode="General" sourceLinked="1"/>
        <c:majorTickMark val="out"/>
        <c:minorTickMark val="none"/>
        <c:tickLblPos val="nextTo"/>
        <c:txPr>
          <a:bodyPr/>
          <a:lstStyle/>
          <a:p>
            <a:pPr>
              <a:defRPr sz="1600"/>
            </a:pPr>
            <a:endParaRPr lang="en-US"/>
          </a:p>
        </c:txPr>
        <c:crossAx val="-249432080"/>
        <c:crosses val="autoZero"/>
        <c:auto val="1"/>
        <c:lblAlgn val="ctr"/>
        <c:lblOffset val="100"/>
        <c:noMultiLvlLbl val="0"/>
      </c:catAx>
      <c:valAx>
        <c:axId val="-249432080"/>
        <c:scaling>
          <c:orientation val="minMax"/>
        </c:scaling>
        <c:delete val="0"/>
        <c:axPos val="l"/>
        <c:majorGridlines/>
        <c:numFmt formatCode="General" sourceLinked="1"/>
        <c:majorTickMark val="out"/>
        <c:minorTickMark val="none"/>
        <c:tickLblPos val="nextTo"/>
        <c:crossAx val="-249426976"/>
        <c:crosses val="autoZero"/>
        <c:crossBetween val="between"/>
      </c:valAx>
    </c:plotArea>
    <c:legend>
      <c:legendPos val="r"/>
      <c:overlay val="0"/>
      <c:txPr>
        <a:bodyPr/>
        <a:lstStyle/>
        <a:p>
          <a:pPr>
            <a:defRPr sz="1600"/>
          </a:pPr>
          <a:endParaRPr lang="en-US"/>
        </a:p>
      </c:txPr>
    </c:legend>
    <c:plotVisOnly val="1"/>
    <c:dispBlanksAs val="gap"/>
    <c:showDLblsOverMax val="0"/>
  </c:chart>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Communication</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Sheet2!$B$58</c:f>
              <c:strCache>
                <c:ptCount val="1"/>
                <c:pt idx="0">
                  <c:v>2015</c:v>
                </c:pt>
              </c:strCache>
            </c:strRef>
          </c:tx>
          <c:spPr>
            <a:solidFill>
              <a:schemeClr val="accent1"/>
            </a:solidFill>
            <a:ln>
              <a:noFill/>
            </a:ln>
            <a:effectLst/>
          </c:spPr>
          <c:invertIfNegative val="0"/>
          <c:cat>
            <c:numRef>
              <c:f>Sheet2!$C$57:$H$57</c:f>
              <c:numCache>
                <c:formatCode>General</c:formatCode>
                <c:ptCount val="6"/>
                <c:pt idx="0">
                  <c:v>-1.0</c:v>
                </c:pt>
                <c:pt idx="1">
                  <c:v>0.0</c:v>
                </c:pt>
                <c:pt idx="2">
                  <c:v>1.0</c:v>
                </c:pt>
                <c:pt idx="3">
                  <c:v>2.0</c:v>
                </c:pt>
                <c:pt idx="4">
                  <c:v>3.0</c:v>
                </c:pt>
                <c:pt idx="5">
                  <c:v>4.0</c:v>
                </c:pt>
              </c:numCache>
            </c:numRef>
          </c:cat>
          <c:val>
            <c:numRef>
              <c:f>Sheet2!$C$58:$H$58</c:f>
              <c:numCache>
                <c:formatCode>0.00</c:formatCode>
                <c:ptCount val="6"/>
                <c:pt idx="0">
                  <c:v>0.192660550458716</c:v>
                </c:pt>
                <c:pt idx="1">
                  <c:v>0.036697247706422</c:v>
                </c:pt>
                <c:pt idx="2">
                  <c:v>0.073394495412844</c:v>
                </c:pt>
                <c:pt idx="3">
                  <c:v>0.091743119266055</c:v>
                </c:pt>
                <c:pt idx="4">
                  <c:v>0.403669724770642</c:v>
                </c:pt>
                <c:pt idx="5">
                  <c:v>0.201834862385321</c:v>
                </c:pt>
              </c:numCache>
            </c:numRef>
          </c:val>
        </c:ser>
        <c:ser>
          <c:idx val="1"/>
          <c:order val="1"/>
          <c:tx>
            <c:strRef>
              <c:f>Sheet2!$B$59</c:f>
              <c:strCache>
                <c:ptCount val="1"/>
                <c:pt idx="0">
                  <c:v>2016</c:v>
                </c:pt>
              </c:strCache>
            </c:strRef>
          </c:tx>
          <c:spPr>
            <a:solidFill>
              <a:schemeClr val="accent2"/>
            </a:solidFill>
            <a:ln>
              <a:noFill/>
            </a:ln>
            <a:effectLst/>
          </c:spPr>
          <c:invertIfNegative val="0"/>
          <c:cat>
            <c:numRef>
              <c:f>Sheet2!$C$57:$H$57</c:f>
              <c:numCache>
                <c:formatCode>General</c:formatCode>
                <c:ptCount val="6"/>
                <c:pt idx="0">
                  <c:v>-1.0</c:v>
                </c:pt>
                <c:pt idx="1">
                  <c:v>0.0</c:v>
                </c:pt>
                <c:pt idx="2">
                  <c:v>1.0</c:v>
                </c:pt>
                <c:pt idx="3">
                  <c:v>2.0</c:v>
                </c:pt>
                <c:pt idx="4">
                  <c:v>3.0</c:v>
                </c:pt>
                <c:pt idx="5">
                  <c:v>4.0</c:v>
                </c:pt>
              </c:numCache>
            </c:numRef>
          </c:cat>
          <c:val>
            <c:numRef>
              <c:f>Sheet2!$C$59:$H$59</c:f>
              <c:numCache>
                <c:formatCode>0.00</c:formatCode>
                <c:ptCount val="6"/>
                <c:pt idx="0">
                  <c:v>0.125</c:v>
                </c:pt>
                <c:pt idx="1">
                  <c:v>0.0</c:v>
                </c:pt>
                <c:pt idx="2">
                  <c:v>0.270833333333333</c:v>
                </c:pt>
                <c:pt idx="3">
                  <c:v>0.229166666666667</c:v>
                </c:pt>
                <c:pt idx="4">
                  <c:v>0.3125</c:v>
                </c:pt>
                <c:pt idx="5">
                  <c:v>0.0625</c:v>
                </c:pt>
              </c:numCache>
            </c:numRef>
          </c:val>
        </c:ser>
        <c:dLbls>
          <c:showLegendKey val="0"/>
          <c:showVal val="0"/>
          <c:showCatName val="0"/>
          <c:showSerName val="0"/>
          <c:showPercent val="0"/>
          <c:showBubbleSize val="0"/>
        </c:dLbls>
        <c:gapWidth val="219"/>
        <c:overlap val="-27"/>
        <c:axId val="-249612480"/>
        <c:axId val="-249652992"/>
      </c:barChart>
      <c:catAx>
        <c:axId val="-2496124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49652992"/>
        <c:crosses val="autoZero"/>
        <c:auto val="1"/>
        <c:lblAlgn val="ctr"/>
        <c:lblOffset val="100"/>
        <c:noMultiLvlLbl val="0"/>
      </c:catAx>
      <c:valAx>
        <c:axId val="-24965299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4961248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lrMapOvr bg1="dk2" tx1="lt1" bg2="dk1" tx2="lt2" accent1="accent1" accent2="accent2" accent3="accent3" accent4="accent4" accent5="accent5" accent6="accent6" hlink="hlink" folHlink="folHlink"/>
  <c:chart>
    <c:title>
      <c:tx>
        <c:rich>
          <a:bodyPr/>
          <a:lstStyle/>
          <a:p>
            <a:pPr>
              <a:defRPr sz="1600"/>
            </a:pPr>
            <a:r>
              <a:rPr lang="en-US" sz="1600" dirty="0"/>
              <a:t>Figure 5: Rater Reliability - Intercultural Knowledge</a:t>
            </a:r>
            <a:r>
              <a:rPr lang="en-US" sz="1600" baseline="0" dirty="0"/>
              <a:t> and </a:t>
            </a:r>
            <a:r>
              <a:rPr lang="en-US" sz="1600" baseline="0" dirty="0" smtClean="0"/>
              <a:t>Competence (overall r=.262)</a:t>
            </a:r>
            <a:endParaRPr lang="en-US" sz="1600" dirty="0"/>
          </a:p>
        </c:rich>
      </c:tx>
      <c:overlay val="0"/>
    </c:title>
    <c:autoTitleDeleted val="0"/>
    <c:plotArea>
      <c:layout/>
      <c:barChart>
        <c:barDir val="bar"/>
        <c:grouping val="clustered"/>
        <c:varyColors val="0"/>
        <c:ser>
          <c:idx val="0"/>
          <c:order val="0"/>
          <c:tx>
            <c:strRef>
              <c:f>Sheet1!$O$2</c:f>
              <c:strCache>
                <c:ptCount val="1"/>
                <c:pt idx="0">
                  <c:v>IRR</c:v>
                </c:pt>
              </c:strCache>
            </c:strRef>
          </c:tx>
          <c:invertIfNegative val="0"/>
          <c:dLbls>
            <c:spPr>
              <a:noFill/>
              <a:ln>
                <a:noFill/>
              </a:ln>
              <a:effectLst/>
            </c:spPr>
            <c:txPr>
              <a:bodyPr/>
              <a:lstStyle/>
              <a:p>
                <a:pPr>
                  <a:defRPr sz="1200"/>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Sheet1!$N$3:$N$8</c:f>
              <c:strCache>
                <c:ptCount val="6"/>
                <c:pt idx="0">
                  <c:v>Cultural Self-Awareness</c:v>
                </c:pt>
                <c:pt idx="1">
                  <c:v>Cultural Worldview</c:v>
                </c:pt>
                <c:pt idx="2">
                  <c:v>Skills-Empathy</c:v>
                </c:pt>
                <c:pt idx="3">
                  <c:v>Skills-Verb-NV</c:v>
                </c:pt>
                <c:pt idx="4">
                  <c:v>Attitudes-Curiosity</c:v>
                </c:pt>
                <c:pt idx="5">
                  <c:v>Attitudes-Openness</c:v>
                </c:pt>
              </c:strCache>
            </c:strRef>
          </c:cat>
          <c:val>
            <c:numRef>
              <c:f>Sheet1!$O$3:$O$8</c:f>
              <c:numCache>
                <c:formatCode>General</c:formatCode>
                <c:ptCount val="6"/>
                <c:pt idx="0">
                  <c:v>0.473</c:v>
                </c:pt>
                <c:pt idx="1">
                  <c:v>0.128</c:v>
                </c:pt>
                <c:pt idx="2">
                  <c:v>0.26</c:v>
                </c:pt>
                <c:pt idx="3">
                  <c:v>0.42</c:v>
                </c:pt>
                <c:pt idx="4">
                  <c:v>0.036</c:v>
                </c:pt>
                <c:pt idx="5">
                  <c:v>0.047</c:v>
                </c:pt>
              </c:numCache>
            </c:numRef>
          </c:val>
        </c:ser>
        <c:ser>
          <c:idx val="1"/>
          <c:order val="1"/>
          <c:tx>
            <c:strRef>
              <c:f>Sheet1!$P$2</c:f>
              <c:strCache>
                <c:ptCount val="1"/>
                <c:pt idx="0">
                  <c:v>Mean Difference</c:v>
                </c:pt>
              </c:strCache>
            </c:strRef>
          </c:tx>
          <c:invertIfNegative val="0"/>
          <c:dLbls>
            <c:spPr>
              <a:noFill/>
              <a:ln>
                <a:noFill/>
              </a:ln>
              <a:effectLst/>
            </c:spPr>
            <c:txPr>
              <a:bodyPr/>
              <a:lstStyle/>
              <a:p>
                <a:pPr>
                  <a:defRPr sz="1200"/>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Sheet1!$N$3:$N$8</c:f>
              <c:strCache>
                <c:ptCount val="6"/>
                <c:pt idx="0">
                  <c:v>Cultural Self-Awareness</c:v>
                </c:pt>
                <c:pt idx="1">
                  <c:v>Cultural Worldview</c:v>
                </c:pt>
                <c:pt idx="2">
                  <c:v>Skills-Empathy</c:v>
                </c:pt>
                <c:pt idx="3">
                  <c:v>Skills-Verb-NV</c:v>
                </c:pt>
                <c:pt idx="4">
                  <c:v>Attitudes-Curiosity</c:v>
                </c:pt>
                <c:pt idx="5">
                  <c:v>Attitudes-Openness</c:v>
                </c:pt>
              </c:strCache>
            </c:strRef>
          </c:cat>
          <c:val>
            <c:numRef>
              <c:f>Sheet1!$P$3:$P$8</c:f>
              <c:numCache>
                <c:formatCode>0.00</c:formatCode>
                <c:ptCount val="6"/>
                <c:pt idx="0">
                  <c:v>1.3</c:v>
                </c:pt>
                <c:pt idx="1">
                  <c:v>1.34</c:v>
                </c:pt>
                <c:pt idx="2">
                  <c:v>1.36</c:v>
                </c:pt>
                <c:pt idx="3">
                  <c:v>1.3</c:v>
                </c:pt>
                <c:pt idx="4">
                  <c:v>1.71</c:v>
                </c:pt>
                <c:pt idx="5">
                  <c:v>2.13</c:v>
                </c:pt>
              </c:numCache>
            </c:numRef>
          </c:val>
        </c:ser>
        <c:dLbls>
          <c:showLegendKey val="0"/>
          <c:showVal val="0"/>
          <c:showCatName val="0"/>
          <c:showSerName val="0"/>
          <c:showPercent val="0"/>
          <c:showBubbleSize val="0"/>
        </c:dLbls>
        <c:gapWidth val="150"/>
        <c:axId val="-249744208"/>
        <c:axId val="-273085536"/>
      </c:barChart>
      <c:catAx>
        <c:axId val="-249744208"/>
        <c:scaling>
          <c:orientation val="minMax"/>
        </c:scaling>
        <c:delete val="0"/>
        <c:axPos val="l"/>
        <c:numFmt formatCode="General" sourceLinked="0"/>
        <c:majorTickMark val="out"/>
        <c:minorTickMark val="none"/>
        <c:tickLblPos val="nextTo"/>
        <c:txPr>
          <a:bodyPr/>
          <a:lstStyle/>
          <a:p>
            <a:pPr>
              <a:defRPr sz="1400"/>
            </a:pPr>
            <a:endParaRPr lang="en-US"/>
          </a:p>
        </c:txPr>
        <c:crossAx val="-273085536"/>
        <c:crosses val="autoZero"/>
        <c:auto val="1"/>
        <c:lblAlgn val="ctr"/>
        <c:lblOffset val="100"/>
        <c:noMultiLvlLbl val="0"/>
      </c:catAx>
      <c:valAx>
        <c:axId val="-273085536"/>
        <c:scaling>
          <c:orientation val="minMax"/>
        </c:scaling>
        <c:delete val="0"/>
        <c:axPos val="b"/>
        <c:majorGridlines/>
        <c:numFmt formatCode="General" sourceLinked="1"/>
        <c:majorTickMark val="out"/>
        <c:minorTickMark val="none"/>
        <c:tickLblPos val="nextTo"/>
        <c:crossAx val="-249744208"/>
        <c:crosses val="autoZero"/>
        <c:crossBetween val="between"/>
      </c:valAx>
    </c:plotArea>
    <c:legend>
      <c:legendPos val="r"/>
      <c:overlay val="0"/>
      <c:txPr>
        <a:bodyPr/>
        <a:lstStyle/>
        <a:p>
          <a:pPr>
            <a:defRPr sz="1600"/>
          </a:pPr>
          <a:endParaRPr lang="en-US"/>
        </a:p>
      </c:txPr>
    </c:legend>
    <c:plotVisOnly val="1"/>
    <c:dispBlanksAs val="gap"/>
    <c:showDLblsOverMax val="0"/>
  </c:chart>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lrMapOvr bg1="dk2" tx1="lt1" bg2="dk1" tx2="lt2" accent1="accent1" accent2="accent2" accent3="accent3" accent4="accent4" accent5="accent5" accent6="accent6" hlink="hlink" folHlink="folHlink"/>
  <c:chart>
    <c:title>
      <c:tx>
        <c:rich>
          <a:bodyPr/>
          <a:lstStyle/>
          <a:p>
            <a:pPr>
              <a:defRPr sz="1600"/>
            </a:pPr>
            <a:r>
              <a:rPr lang="en-US" sz="1600" dirty="0"/>
              <a:t>Figure 6: Rater Reliability - Quantitative </a:t>
            </a:r>
            <a:r>
              <a:rPr lang="en-US" sz="1600" dirty="0" smtClean="0"/>
              <a:t>Literacy</a:t>
            </a:r>
            <a:r>
              <a:rPr lang="en-US" sz="1600" baseline="0" dirty="0" smtClean="0"/>
              <a:t> (Overall r=.711)</a:t>
            </a:r>
            <a:endParaRPr lang="en-US" sz="1600" dirty="0"/>
          </a:p>
        </c:rich>
      </c:tx>
      <c:overlay val="0"/>
    </c:title>
    <c:autoTitleDeleted val="0"/>
    <c:plotArea>
      <c:layout/>
      <c:barChart>
        <c:barDir val="bar"/>
        <c:grouping val="clustered"/>
        <c:varyColors val="0"/>
        <c:ser>
          <c:idx val="0"/>
          <c:order val="0"/>
          <c:tx>
            <c:strRef>
              <c:f>Sheet2!$Q$2</c:f>
              <c:strCache>
                <c:ptCount val="1"/>
                <c:pt idx="0">
                  <c:v>IRR</c:v>
                </c:pt>
              </c:strCache>
            </c:strRef>
          </c:tx>
          <c:invertIfNegative val="0"/>
          <c:dLbls>
            <c:spPr>
              <a:noFill/>
              <a:ln>
                <a:noFill/>
              </a:ln>
              <a:effectLst/>
            </c:spPr>
            <c:txPr>
              <a:bodyPr/>
              <a:lstStyle/>
              <a:p>
                <a:pPr>
                  <a:defRPr sz="1200"/>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Sheet2!$P$3:$P$8</c:f>
              <c:strCache>
                <c:ptCount val="6"/>
                <c:pt idx="0">
                  <c:v>Interpretation</c:v>
                </c:pt>
                <c:pt idx="1">
                  <c:v>Representation</c:v>
                </c:pt>
                <c:pt idx="2">
                  <c:v>Calculation</c:v>
                </c:pt>
                <c:pt idx="3">
                  <c:v>Application-Analysis</c:v>
                </c:pt>
                <c:pt idx="4">
                  <c:v>Assumptions</c:v>
                </c:pt>
                <c:pt idx="5">
                  <c:v>Communication</c:v>
                </c:pt>
              </c:strCache>
            </c:strRef>
          </c:cat>
          <c:val>
            <c:numRef>
              <c:f>Sheet2!$Q$3:$Q$8</c:f>
              <c:numCache>
                <c:formatCode>General</c:formatCode>
                <c:ptCount val="6"/>
                <c:pt idx="0">
                  <c:v>0.558</c:v>
                </c:pt>
                <c:pt idx="1">
                  <c:v>0.819</c:v>
                </c:pt>
                <c:pt idx="2">
                  <c:v>0.827</c:v>
                </c:pt>
                <c:pt idx="3">
                  <c:v>0.588</c:v>
                </c:pt>
                <c:pt idx="4">
                  <c:v>0.817</c:v>
                </c:pt>
                <c:pt idx="5">
                  <c:v>0.463</c:v>
                </c:pt>
              </c:numCache>
            </c:numRef>
          </c:val>
        </c:ser>
        <c:ser>
          <c:idx val="1"/>
          <c:order val="1"/>
          <c:tx>
            <c:strRef>
              <c:f>Sheet2!$R$2</c:f>
              <c:strCache>
                <c:ptCount val="1"/>
                <c:pt idx="0">
                  <c:v>Mean Difference</c:v>
                </c:pt>
              </c:strCache>
            </c:strRef>
          </c:tx>
          <c:invertIfNegative val="0"/>
          <c:dLbls>
            <c:spPr>
              <a:noFill/>
              <a:ln>
                <a:noFill/>
              </a:ln>
              <a:effectLst/>
            </c:spPr>
            <c:txPr>
              <a:bodyPr/>
              <a:lstStyle/>
              <a:p>
                <a:pPr>
                  <a:defRPr sz="1200"/>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Sheet2!$P$3:$P$8</c:f>
              <c:strCache>
                <c:ptCount val="6"/>
                <c:pt idx="0">
                  <c:v>Interpretation</c:v>
                </c:pt>
                <c:pt idx="1">
                  <c:v>Representation</c:v>
                </c:pt>
                <c:pt idx="2">
                  <c:v>Calculation</c:v>
                </c:pt>
                <c:pt idx="3">
                  <c:v>Application-Analysis</c:v>
                </c:pt>
                <c:pt idx="4">
                  <c:v>Assumptions</c:v>
                </c:pt>
                <c:pt idx="5">
                  <c:v>Communication</c:v>
                </c:pt>
              </c:strCache>
            </c:strRef>
          </c:cat>
          <c:val>
            <c:numRef>
              <c:f>Sheet2!$R$3:$R$8</c:f>
              <c:numCache>
                <c:formatCode>General</c:formatCode>
                <c:ptCount val="6"/>
                <c:pt idx="0">
                  <c:v>0.92</c:v>
                </c:pt>
                <c:pt idx="1">
                  <c:v>0.58</c:v>
                </c:pt>
                <c:pt idx="2">
                  <c:v>0.71</c:v>
                </c:pt>
                <c:pt idx="3">
                  <c:v>0.71</c:v>
                </c:pt>
                <c:pt idx="4">
                  <c:v>0.71</c:v>
                </c:pt>
                <c:pt idx="5">
                  <c:v>0.83</c:v>
                </c:pt>
              </c:numCache>
            </c:numRef>
          </c:val>
        </c:ser>
        <c:dLbls>
          <c:showLegendKey val="0"/>
          <c:showVal val="0"/>
          <c:showCatName val="0"/>
          <c:showSerName val="0"/>
          <c:showPercent val="0"/>
          <c:showBubbleSize val="0"/>
        </c:dLbls>
        <c:gapWidth val="150"/>
        <c:axId val="-249774448"/>
        <c:axId val="-273099792"/>
      </c:barChart>
      <c:catAx>
        <c:axId val="-249774448"/>
        <c:scaling>
          <c:orientation val="minMax"/>
        </c:scaling>
        <c:delete val="0"/>
        <c:axPos val="l"/>
        <c:numFmt formatCode="General" sourceLinked="0"/>
        <c:majorTickMark val="out"/>
        <c:minorTickMark val="none"/>
        <c:tickLblPos val="nextTo"/>
        <c:txPr>
          <a:bodyPr/>
          <a:lstStyle/>
          <a:p>
            <a:pPr>
              <a:defRPr sz="1400"/>
            </a:pPr>
            <a:endParaRPr lang="en-US"/>
          </a:p>
        </c:txPr>
        <c:crossAx val="-273099792"/>
        <c:crosses val="autoZero"/>
        <c:auto val="1"/>
        <c:lblAlgn val="ctr"/>
        <c:lblOffset val="100"/>
        <c:noMultiLvlLbl val="0"/>
      </c:catAx>
      <c:valAx>
        <c:axId val="-273099792"/>
        <c:scaling>
          <c:orientation val="minMax"/>
        </c:scaling>
        <c:delete val="0"/>
        <c:axPos val="b"/>
        <c:majorGridlines/>
        <c:numFmt formatCode="General" sourceLinked="1"/>
        <c:majorTickMark val="out"/>
        <c:minorTickMark val="none"/>
        <c:tickLblPos val="nextTo"/>
        <c:crossAx val="-249774448"/>
        <c:crosses val="autoZero"/>
        <c:crossBetween val="between"/>
      </c:valAx>
    </c:plotArea>
    <c:legend>
      <c:legendPos val="r"/>
      <c:overlay val="0"/>
      <c:txPr>
        <a:bodyPr/>
        <a:lstStyle/>
        <a:p>
          <a:pPr>
            <a:defRPr sz="1400"/>
          </a:pPr>
          <a:endParaRPr lang="en-US"/>
        </a:p>
      </c:txPr>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lrMapOvr bg1="dk2" tx1="lt1" bg2="dk1" tx2="lt2" accent1="accent1" accent2="accent2" accent3="accent3" accent4="accent4" accent5="accent5" accent6="accent6" hlink="hlink" folHlink="folHlink"/>
  <c:chart>
    <c:title>
      <c:tx>
        <c:rich>
          <a:bodyPr/>
          <a:lstStyle/>
          <a:p>
            <a:pPr>
              <a:defRPr sz="1600"/>
            </a:pPr>
            <a:r>
              <a:rPr lang="en-US" sz="1600"/>
              <a:t>Figure 2: Intercultural</a:t>
            </a:r>
            <a:r>
              <a:rPr lang="en-US" sz="1600" baseline="0"/>
              <a:t> Knowledge and Competence: Criteria 4-6</a:t>
            </a:r>
            <a:endParaRPr lang="en-US" sz="1600"/>
          </a:p>
        </c:rich>
      </c:tx>
      <c:overlay val="0"/>
    </c:title>
    <c:autoTitleDeleted val="0"/>
    <c:plotArea>
      <c:layout/>
      <c:barChart>
        <c:barDir val="col"/>
        <c:grouping val="clustered"/>
        <c:varyColors val="0"/>
        <c:ser>
          <c:idx val="0"/>
          <c:order val="0"/>
          <c:tx>
            <c:strRef>
              <c:f>Sheet1!$B$8</c:f>
              <c:strCache>
                <c:ptCount val="1"/>
                <c:pt idx="0">
                  <c:v>Skills-Verb-NV</c:v>
                </c:pt>
              </c:strCache>
            </c:strRef>
          </c:tx>
          <c:invertIfNegative val="0"/>
          <c:cat>
            <c:numRef>
              <c:f>Sheet1!$C$7:$H$7</c:f>
              <c:numCache>
                <c:formatCode>General</c:formatCode>
                <c:ptCount val="6"/>
                <c:pt idx="0">
                  <c:v>-1.0</c:v>
                </c:pt>
                <c:pt idx="1">
                  <c:v>0.0</c:v>
                </c:pt>
                <c:pt idx="2">
                  <c:v>1.0</c:v>
                </c:pt>
                <c:pt idx="3">
                  <c:v>2.0</c:v>
                </c:pt>
                <c:pt idx="4">
                  <c:v>3.0</c:v>
                </c:pt>
                <c:pt idx="5">
                  <c:v>4.0</c:v>
                </c:pt>
              </c:numCache>
            </c:numRef>
          </c:cat>
          <c:val>
            <c:numRef>
              <c:f>Sheet1!$C$8:$H$8</c:f>
              <c:numCache>
                <c:formatCode>General</c:formatCode>
                <c:ptCount val="6"/>
                <c:pt idx="0">
                  <c:v>37.0</c:v>
                </c:pt>
                <c:pt idx="1">
                  <c:v>12.0</c:v>
                </c:pt>
                <c:pt idx="2">
                  <c:v>13.0</c:v>
                </c:pt>
                <c:pt idx="3">
                  <c:v>17.0</c:v>
                </c:pt>
                <c:pt idx="4">
                  <c:v>29.0</c:v>
                </c:pt>
                <c:pt idx="5">
                  <c:v>4.0</c:v>
                </c:pt>
              </c:numCache>
            </c:numRef>
          </c:val>
        </c:ser>
        <c:ser>
          <c:idx val="1"/>
          <c:order val="1"/>
          <c:tx>
            <c:strRef>
              <c:f>Sheet1!$B$9</c:f>
              <c:strCache>
                <c:ptCount val="1"/>
                <c:pt idx="0">
                  <c:v>Attitudes-Curiosity</c:v>
                </c:pt>
              </c:strCache>
            </c:strRef>
          </c:tx>
          <c:invertIfNegative val="0"/>
          <c:cat>
            <c:numRef>
              <c:f>Sheet1!$C$7:$H$7</c:f>
              <c:numCache>
                <c:formatCode>General</c:formatCode>
                <c:ptCount val="6"/>
                <c:pt idx="0">
                  <c:v>-1.0</c:v>
                </c:pt>
                <c:pt idx="1">
                  <c:v>0.0</c:v>
                </c:pt>
                <c:pt idx="2">
                  <c:v>1.0</c:v>
                </c:pt>
                <c:pt idx="3">
                  <c:v>2.0</c:v>
                </c:pt>
                <c:pt idx="4">
                  <c:v>3.0</c:v>
                </c:pt>
                <c:pt idx="5">
                  <c:v>4.0</c:v>
                </c:pt>
              </c:numCache>
            </c:numRef>
          </c:cat>
          <c:val>
            <c:numRef>
              <c:f>Sheet1!$C$9:$H$9</c:f>
              <c:numCache>
                <c:formatCode>General</c:formatCode>
                <c:ptCount val="6"/>
                <c:pt idx="0">
                  <c:v>15.0</c:v>
                </c:pt>
                <c:pt idx="1">
                  <c:v>9.0</c:v>
                </c:pt>
                <c:pt idx="2">
                  <c:v>14.0</c:v>
                </c:pt>
                <c:pt idx="3">
                  <c:v>31.0</c:v>
                </c:pt>
                <c:pt idx="4">
                  <c:v>31.0</c:v>
                </c:pt>
                <c:pt idx="5">
                  <c:v>12.0</c:v>
                </c:pt>
              </c:numCache>
            </c:numRef>
          </c:val>
        </c:ser>
        <c:ser>
          <c:idx val="2"/>
          <c:order val="2"/>
          <c:tx>
            <c:strRef>
              <c:f>Sheet1!$B$10</c:f>
              <c:strCache>
                <c:ptCount val="1"/>
                <c:pt idx="0">
                  <c:v>Attitudes-Openness</c:v>
                </c:pt>
              </c:strCache>
            </c:strRef>
          </c:tx>
          <c:spPr>
            <a:solidFill>
              <a:srgbClr val="008000"/>
            </a:solidFill>
          </c:spPr>
          <c:invertIfNegative val="0"/>
          <c:cat>
            <c:numRef>
              <c:f>Sheet1!$C$7:$H$7</c:f>
              <c:numCache>
                <c:formatCode>General</c:formatCode>
                <c:ptCount val="6"/>
                <c:pt idx="0">
                  <c:v>-1.0</c:v>
                </c:pt>
                <c:pt idx="1">
                  <c:v>0.0</c:v>
                </c:pt>
                <c:pt idx="2">
                  <c:v>1.0</c:v>
                </c:pt>
                <c:pt idx="3">
                  <c:v>2.0</c:v>
                </c:pt>
                <c:pt idx="4">
                  <c:v>3.0</c:v>
                </c:pt>
                <c:pt idx="5">
                  <c:v>4.0</c:v>
                </c:pt>
              </c:numCache>
            </c:numRef>
          </c:cat>
          <c:val>
            <c:numRef>
              <c:f>Sheet1!$C$10:$H$10</c:f>
              <c:numCache>
                <c:formatCode>General</c:formatCode>
                <c:ptCount val="6"/>
                <c:pt idx="0">
                  <c:v>31.0</c:v>
                </c:pt>
                <c:pt idx="1">
                  <c:v>6.0</c:v>
                </c:pt>
                <c:pt idx="2">
                  <c:v>16.0</c:v>
                </c:pt>
                <c:pt idx="3">
                  <c:v>19.0</c:v>
                </c:pt>
                <c:pt idx="4">
                  <c:v>26.0</c:v>
                </c:pt>
                <c:pt idx="5">
                  <c:v>14.0</c:v>
                </c:pt>
              </c:numCache>
            </c:numRef>
          </c:val>
        </c:ser>
        <c:dLbls>
          <c:showLegendKey val="0"/>
          <c:showVal val="0"/>
          <c:showCatName val="0"/>
          <c:showSerName val="0"/>
          <c:showPercent val="0"/>
          <c:showBubbleSize val="0"/>
        </c:dLbls>
        <c:gapWidth val="150"/>
        <c:axId val="-250109616"/>
        <c:axId val="-250155040"/>
      </c:barChart>
      <c:catAx>
        <c:axId val="-250109616"/>
        <c:scaling>
          <c:orientation val="minMax"/>
        </c:scaling>
        <c:delete val="0"/>
        <c:axPos val="b"/>
        <c:numFmt formatCode="General" sourceLinked="1"/>
        <c:majorTickMark val="out"/>
        <c:minorTickMark val="none"/>
        <c:tickLblPos val="nextTo"/>
        <c:txPr>
          <a:bodyPr/>
          <a:lstStyle/>
          <a:p>
            <a:pPr>
              <a:defRPr sz="1800"/>
            </a:pPr>
            <a:endParaRPr lang="en-US"/>
          </a:p>
        </c:txPr>
        <c:crossAx val="-250155040"/>
        <c:crosses val="autoZero"/>
        <c:auto val="1"/>
        <c:lblAlgn val="ctr"/>
        <c:lblOffset val="100"/>
        <c:noMultiLvlLbl val="0"/>
      </c:catAx>
      <c:valAx>
        <c:axId val="-250155040"/>
        <c:scaling>
          <c:orientation val="minMax"/>
        </c:scaling>
        <c:delete val="0"/>
        <c:axPos val="l"/>
        <c:majorGridlines/>
        <c:numFmt formatCode="General" sourceLinked="1"/>
        <c:majorTickMark val="out"/>
        <c:minorTickMark val="none"/>
        <c:tickLblPos val="nextTo"/>
        <c:txPr>
          <a:bodyPr/>
          <a:lstStyle/>
          <a:p>
            <a:pPr>
              <a:defRPr sz="1400"/>
            </a:pPr>
            <a:endParaRPr lang="en-US"/>
          </a:p>
        </c:txPr>
        <c:crossAx val="-250109616"/>
        <c:crosses val="autoZero"/>
        <c:crossBetween val="between"/>
      </c:valAx>
    </c:plotArea>
    <c:legend>
      <c:legendPos val="r"/>
      <c:overlay val="0"/>
      <c:txPr>
        <a:bodyPr/>
        <a:lstStyle/>
        <a:p>
          <a:pPr>
            <a:defRPr sz="1600"/>
          </a:pPr>
          <a:endParaRPr lang="en-US"/>
        </a:p>
      </c:txPr>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lrMapOvr bg1="dk2" tx1="lt1" bg2="dk1" tx2="lt2" accent1="accent1" accent2="accent2" accent3="accent3" accent4="accent4" accent5="accent5" accent6="accent6" hlink="hlink" folHlink="folHlink"/>
  <c:chart>
    <c:title>
      <c:tx>
        <c:rich>
          <a:bodyPr/>
          <a:lstStyle/>
          <a:p>
            <a:pPr>
              <a:defRPr sz="1600"/>
            </a:pPr>
            <a:r>
              <a:rPr lang="en-US" sz="1600" dirty="0"/>
              <a:t>Figure 3: Quantitative </a:t>
            </a:r>
            <a:r>
              <a:rPr lang="en-US" sz="1600" dirty="0" smtClean="0"/>
              <a:t>Literacy  </a:t>
            </a:r>
          </a:p>
          <a:p>
            <a:pPr>
              <a:defRPr sz="1600"/>
            </a:pPr>
            <a:r>
              <a:rPr lang="en-US" sz="1600" dirty="0"/>
              <a:t>Criteria 1-3</a:t>
            </a:r>
          </a:p>
        </c:rich>
      </c:tx>
      <c:overlay val="0"/>
    </c:title>
    <c:autoTitleDeleted val="0"/>
    <c:plotArea>
      <c:layout/>
      <c:barChart>
        <c:barDir val="col"/>
        <c:grouping val="clustered"/>
        <c:varyColors val="0"/>
        <c:ser>
          <c:idx val="0"/>
          <c:order val="0"/>
          <c:tx>
            <c:strRef>
              <c:f>Sheet2!$B$3</c:f>
              <c:strCache>
                <c:ptCount val="1"/>
                <c:pt idx="0">
                  <c:v>Interpretation</c:v>
                </c:pt>
              </c:strCache>
            </c:strRef>
          </c:tx>
          <c:invertIfNegative val="0"/>
          <c:cat>
            <c:numRef>
              <c:f>Sheet2!$C$2:$H$2</c:f>
              <c:numCache>
                <c:formatCode>General</c:formatCode>
                <c:ptCount val="6"/>
                <c:pt idx="0">
                  <c:v>-1.0</c:v>
                </c:pt>
                <c:pt idx="1">
                  <c:v>0.0</c:v>
                </c:pt>
                <c:pt idx="2">
                  <c:v>1.0</c:v>
                </c:pt>
                <c:pt idx="3">
                  <c:v>2.0</c:v>
                </c:pt>
                <c:pt idx="4">
                  <c:v>3.0</c:v>
                </c:pt>
                <c:pt idx="5">
                  <c:v>4.0</c:v>
                </c:pt>
              </c:numCache>
            </c:numRef>
          </c:cat>
          <c:val>
            <c:numRef>
              <c:f>Sheet2!$C$3:$H$3</c:f>
              <c:numCache>
                <c:formatCode>General</c:formatCode>
                <c:ptCount val="6"/>
                <c:pt idx="0">
                  <c:v>8.0</c:v>
                </c:pt>
                <c:pt idx="1">
                  <c:v>2.0</c:v>
                </c:pt>
                <c:pt idx="2">
                  <c:v>12.0</c:v>
                </c:pt>
                <c:pt idx="3">
                  <c:v>8.0</c:v>
                </c:pt>
                <c:pt idx="4">
                  <c:v>14.0</c:v>
                </c:pt>
                <c:pt idx="5">
                  <c:v>4.0</c:v>
                </c:pt>
              </c:numCache>
            </c:numRef>
          </c:val>
        </c:ser>
        <c:ser>
          <c:idx val="1"/>
          <c:order val="1"/>
          <c:tx>
            <c:strRef>
              <c:f>Sheet2!$B$4</c:f>
              <c:strCache>
                <c:ptCount val="1"/>
                <c:pt idx="0">
                  <c:v>Representation</c:v>
                </c:pt>
              </c:strCache>
            </c:strRef>
          </c:tx>
          <c:invertIfNegative val="0"/>
          <c:cat>
            <c:numRef>
              <c:f>Sheet2!$C$2:$H$2</c:f>
              <c:numCache>
                <c:formatCode>General</c:formatCode>
                <c:ptCount val="6"/>
                <c:pt idx="0">
                  <c:v>-1.0</c:v>
                </c:pt>
                <c:pt idx="1">
                  <c:v>0.0</c:v>
                </c:pt>
                <c:pt idx="2">
                  <c:v>1.0</c:v>
                </c:pt>
                <c:pt idx="3">
                  <c:v>2.0</c:v>
                </c:pt>
                <c:pt idx="4">
                  <c:v>3.0</c:v>
                </c:pt>
                <c:pt idx="5">
                  <c:v>4.0</c:v>
                </c:pt>
              </c:numCache>
            </c:numRef>
          </c:cat>
          <c:val>
            <c:numRef>
              <c:f>Sheet2!$C$4:$H$4</c:f>
              <c:numCache>
                <c:formatCode>General</c:formatCode>
                <c:ptCount val="6"/>
                <c:pt idx="0">
                  <c:v>14.0</c:v>
                </c:pt>
                <c:pt idx="1">
                  <c:v>3.0</c:v>
                </c:pt>
                <c:pt idx="2">
                  <c:v>6.0</c:v>
                </c:pt>
                <c:pt idx="3">
                  <c:v>10.0</c:v>
                </c:pt>
                <c:pt idx="4">
                  <c:v>14.0</c:v>
                </c:pt>
                <c:pt idx="5">
                  <c:v>1.0</c:v>
                </c:pt>
              </c:numCache>
            </c:numRef>
          </c:val>
        </c:ser>
        <c:ser>
          <c:idx val="2"/>
          <c:order val="2"/>
          <c:tx>
            <c:strRef>
              <c:f>Sheet2!$B$5</c:f>
              <c:strCache>
                <c:ptCount val="1"/>
                <c:pt idx="0">
                  <c:v>Calculation</c:v>
                </c:pt>
              </c:strCache>
            </c:strRef>
          </c:tx>
          <c:spPr>
            <a:solidFill>
              <a:srgbClr val="85FF0B"/>
            </a:solidFill>
          </c:spPr>
          <c:invertIfNegative val="0"/>
          <c:cat>
            <c:numRef>
              <c:f>Sheet2!$C$2:$H$2</c:f>
              <c:numCache>
                <c:formatCode>General</c:formatCode>
                <c:ptCount val="6"/>
                <c:pt idx="0">
                  <c:v>-1.0</c:v>
                </c:pt>
                <c:pt idx="1">
                  <c:v>0.0</c:v>
                </c:pt>
                <c:pt idx="2">
                  <c:v>1.0</c:v>
                </c:pt>
                <c:pt idx="3">
                  <c:v>2.0</c:v>
                </c:pt>
                <c:pt idx="4">
                  <c:v>3.0</c:v>
                </c:pt>
                <c:pt idx="5">
                  <c:v>4.0</c:v>
                </c:pt>
              </c:numCache>
            </c:numRef>
          </c:cat>
          <c:val>
            <c:numRef>
              <c:f>Sheet2!$C$5:$H$5</c:f>
              <c:numCache>
                <c:formatCode>General</c:formatCode>
                <c:ptCount val="6"/>
                <c:pt idx="0">
                  <c:v>17.0</c:v>
                </c:pt>
                <c:pt idx="1">
                  <c:v>5.0</c:v>
                </c:pt>
                <c:pt idx="2">
                  <c:v>3.0</c:v>
                </c:pt>
                <c:pt idx="3">
                  <c:v>6.0</c:v>
                </c:pt>
                <c:pt idx="4">
                  <c:v>13.0</c:v>
                </c:pt>
                <c:pt idx="5">
                  <c:v>4.0</c:v>
                </c:pt>
              </c:numCache>
            </c:numRef>
          </c:val>
        </c:ser>
        <c:dLbls>
          <c:showLegendKey val="0"/>
          <c:showVal val="0"/>
          <c:showCatName val="0"/>
          <c:showSerName val="0"/>
          <c:showPercent val="0"/>
          <c:showBubbleSize val="0"/>
        </c:dLbls>
        <c:gapWidth val="150"/>
        <c:axId val="-273521520"/>
        <c:axId val="-273176016"/>
      </c:barChart>
      <c:catAx>
        <c:axId val="-273521520"/>
        <c:scaling>
          <c:orientation val="minMax"/>
        </c:scaling>
        <c:delete val="0"/>
        <c:axPos val="b"/>
        <c:numFmt formatCode="General" sourceLinked="1"/>
        <c:majorTickMark val="out"/>
        <c:minorTickMark val="none"/>
        <c:tickLblPos val="nextTo"/>
        <c:crossAx val="-273176016"/>
        <c:crosses val="autoZero"/>
        <c:auto val="1"/>
        <c:lblAlgn val="ctr"/>
        <c:lblOffset val="100"/>
        <c:noMultiLvlLbl val="0"/>
      </c:catAx>
      <c:valAx>
        <c:axId val="-273176016"/>
        <c:scaling>
          <c:orientation val="minMax"/>
        </c:scaling>
        <c:delete val="0"/>
        <c:axPos val="l"/>
        <c:majorGridlines/>
        <c:numFmt formatCode="General" sourceLinked="1"/>
        <c:majorTickMark val="out"/>
        <c:minorTickMark val="none"/>
        <c:tickLblPos val="nextTo"/>
        <c:crossAx val="-273521520"/>
        <c:crosses val="autoZero"/>
        <c:crossBetween val="between"/>
      </c:valAx>
    </c:plotArea>
    <c:legend>
      <c:legendPos val="r"/>
      <c:overlay val="0"/>
      <c:txPr>
        <a:bodyPr/>
        <a:lstStyle/>
        <a:p>
          <a:pPr>
            <a:defRPr sz="1600"/>
          </a:pPr>
          <a:endParaRPr lang="en-US"/>
        </a:p>
      </c:txPr>
    </c:legend>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lrMapOvr bg1="dk2" tx1="lt1" bg2="dk1" tx2="lt2" accent1="accent1" accent2="accent2" accent3="accent3" accent4="accent4" accent5="accent5" accent6="accent6" hlink="hlink" folHlink="folHlink"/>
  <c:chart>
    <c:title>
      <c:tx>
        <c:rich>
          <a:bodyPr/>
          <a:lstStyle/>
          <a:p>
            <a:pPr>
              <a:defRPr sz="1600"/>
            </a:pPr>
            <a:r>
              <a:rPr lang="en-US" sz="1600"/>
              <a:t>Figure 4: Quantitative Literacy  Criteria 4-6</a:t>
            </a:r>
          </a:p>
        </c:rich>
      </c:tx>
      <c:overlay val="0"/>
    </c:title>
    <c:autoTitleDeleted val="0"/>
    <c:plotArea>
      <c:layout/>
      <c:barChart>
        <c:barDir val="col"/>
        <c:grouping val="clustered"/>
        <c:varyColors val="0"/>
        <c:ser>
          <c:idx val="0"/>
          <c:order val="0"/>
          <c:tx>
            <c:strRef>
              <c:f>Sheet2!$B$8</c:f>
              <c:strCache>
                <c:ptCount val="1"/>
                <c:pt idx="0">
                  <c:v>Application-Analysis</c:v>
                </c:pt>
              </c:strCache>
            </c:strRef>
          </c:tx>
          <c:spPr>
            <a:solidFill>
              <a:srgbClr val="FF6600"/>
            </a:solidFill>
          </c:spPr>
          <c:invertIfNegative val="0"/>
          <c:cat>
            <c:numRef>
              <c:f>Sheet2!$C$7:$H$7</c:f>
              <c:numCache>
                <c:formatCode>General</c:formatCode>
                <c:ptCount val="6"/>
                <c:pt idx="0">
                  <c:v>-1.0</c:v>
                </c:pt>
                <c:pt idx="1">
                  <c:v>0.0</c:v>
                </c:pt>
                <c:pt idx="2">
                  <c:v>1.0</c:v>
                </c:pt>
                <c:pt idx="3">
                  <c:v>2.0</c:v>
                </c:pt>
                <c:pt idx="4">
                  <c:v>3.0</c:v>
                </c:pt>
                <c:pt idx="5">
                  <c:v>4.0</c:v>
                </c:pt>
              </c:numCache>
            </c:numRef>
          </c:cat>
          <c:val>
            <c:numRef>
              <c:f>Sheet2!$C$8:$H$8</c:f>
              <c:numCache>
                <c:formatCode>General</c:formatCode>
                <c:ptCount val="6"/>
                <c:pt idx="0">
                  <c:v>7.0</c:v>
                </c:pt>
                <c:pt idx="1">
                  <c:v>2.0</c:v>
                </c:pt>
                <c:pt idx="2">
                  <c:v>12.0</c:v>
                </c:pt>
                <c:pt idx="3">
                  <c:v>16.0</c:v>
                </c:pt>
                <c:pt idx="4">
                  <c:v>10.0</c:v>
                </c:pt>
                <c:pt idx="5">
                  <c:v>1.0</c:v>
                </c:pt>
              </c:numCache>
            </c:numRef>
          </c:val>
        </c:ser>
        <c:ser>
          <c:idx val="1"/>
          <c:order val="1"/>
          <c:tx>
            <c:strRef>
              <c:f>Sheet2!$B$9</c:f>
              <c:strCache>
                <c:ptCount val="1"/>
                <c:pt idx="0">
                  <c:v>Assumptions</c:v>
                </c:pt>
              </c:strCache>
            </c:strRef>
          </c:tx>
          <c:invertIfNegative val="0"/>
          <c:cat>
            <c:numRef>
              <c:f>Sheet2!$C$7:$H$7</c:f>
              <c:numCache>
                <c:formatCode>General</c:formatCode>
                <c:ptCount val="6"/>
                <c:pt idx="0">
                  <c:v>-1.0</c:v>
                </c:pt>
                <c:pt idx="1">
                  <c:v>0.0</c:v>
                </c:pt>
                <c:pt idx="2">
                  <c:v>1.0</c:v>
                </c:pt>
                <c:pt idx="3">
                  <c:v>2.0</c:v>
                </c:pt>
                <c:pt idx="4">
                  <c:v>3.0</c:v>
                </c:pt>
                <c:pt idx="5">
                  <c:v>4.0</c:v>
                </c:pt>
              </c:numCache>
            </c:numRef>
          </c:cat>
          <c:val>
            <c:numRef>
              <c:f>Sheet2!$C$9:$H$9</c:f>
              <c:numCache>
                <c:formatCode>General</c:formatCode>
                <c:ptCount val="6"/>
                <c:pt idx="0">
                  <c:v>14.0</c:v>
                </c:pt>
                <c:pt idx="1">
                  <c:v>6.0</c:v>
                </c:pt>
                <c:pt idx="2">
                  <c:v>8.0</c:v>
                </c:pt>
                <c:pt idx="3">
                  <c:v>16.0</c:v>
                </c:pt>
                <c:pt idx="4">
                  <c:v>3.0</c:v>
                </c:pt>
                <c:pt idx="5">
                  <c:v>1.0</c:v>
                </c:pt>
              </c:numCache>
            </c:numRef>
          </c:val>
        </c:ser>
        <c:ser>
          <c:idx val="2"/>
          <c:order val="2"/>
          <c:tx>
            <c:strRef>
              <c:f>Sheet2!$B$10</c:f>
              <c:strCache>
                <c:ptCount val="1"/>
                <c:pt idx="0">
                  <c:v>Communication</c:v>
                </c:pt>
              </c:strCache>
            </c:strRef>
          </c:tx>
          <c:invertIfNegative val="0"/>
          <c:cat>
            <c:numRef>
              <c:f>Sheet2!$C$7:$H$7</c:f>
              <c:numCache>
                <c:formatCode>General</c:formatCode>
                <c:ptCount val="6"/>
                <c:pt idx="0">
                  <c:v>-1.0</c:v>
                </c:pt>
                <c:pt idx="1">
                  <c:v>0.0</c:v>
                </c:pt>
                <c:pt idx="2">
                  <c:v>1.0</c:v>
                </c:pt>
                <c:pt idx="3">
                  <c:v>2.0</c:v>
                </c:pt>
                <c:pt idx="4">
                  <c:v>3.0</c:v>
                </c:pt>
                <c:pt idx="5">
                  <c:v>4.0</c:v>
                </c:pt>
              </c:numCache>
            </c:numRef>
          </c:cat>
          <c:val>
            <c:numRef>
              <c:f>Sheet2!$C$10:$H$10</c:f>
              <c:numCache>
                <c:formatCode>General</c:formatCode>
                <c:ptCount val="6"/>
                <c:pt idx="0">
                  <c:v>6.0</c:v>
                </c:pt>
                <c:pt idx="1">
                  <c:v>0.0</c:v>
                </c:pt>
                <c:pt idx="2">
                  <c:v>13.0</c:v>
                </c:pt>
                <c:pt idx="3">
                  <c:v>11.0</c:v>
                </c:pt>
                <c:pt idx="4">
                  <c:v>15.0</c:v>
                </c:pt>
                <c:pt idx="5">
                  <c:v>3.0</c:v>
                </c:pt>
              </c:numCache>
            </c:numRef>
          </c:val>
        </c:ser>
        <c:dLbls>
          <c:showLegendKey val="0"/>
          <c:showVal val="0"/>
          <c:showCatName val="0"/>
          <c:showSerName val="0"/>
          <c:showPercent val="0"/>
          <c:showBubbleSize val="0"/>
        </c:dLbls>
        <c:gapWidth val="150"/>
        <c:axId val="-249886272"/>
        <c:axId val="-271044896"/>
      </c:barChart>
      <c:catAx>
        <c:axId val="-249886272"/>
        <c:scaling>
          <c:orientation val="minMax"/>
        </c:scaling>
        <c:delete val="0"/>
        <c:axPos val="b"/>
        <c:numFmt formatCode="General" sourceLinked="1"/>
        <c:majorTickMark val="out"/>
        <c:minorTickMark val="none"/>
        <c:tickLblPos val="nextTo"/>
        <c:crossAx val="-271044896"/>
        <c:crosses val="autoZero"/>
        <c:auto val="1"/>
        <c:lblAlgn val="ctr"/>
        <c:lblOffset val="100"/>
        <c:noMultiLvlLbl val="0"/>
      </c:catAx>
      <c:valAx>
        <c:axId val="-271044896"/>
        <c:scaling>
          <c:orientation val="minMax"/>
        </c:scaling>
        <c:delete val="0"/>
        <c:axPos val="l"/>
        <c:majorGridlines/>
        <c:numFmt formatCode="General" sourceLinked="1"/>
        <c:majorTickMark val="out"/>
        <c:minorTickMark val="none"/>
        <c:tickLblPos val="nextTo"/>
        <c:crossAx val="-249886272"/>
        <c:crosses val="autoZero"/>
        <c:crossBetween val="between"/>
      </c:valAx>
    </c:plotArea>
    <c:legend>
      <c:legendPos val="r"/>
      <c:overlay val="0"/>
      <c:txPr>
        <a:bodyPr/>
        <a:lstStyle/>
        <a:p>
          <a:pPr>
            <a:defRPr sz="1600"/>
          </a:pPr>
          <a:endParaRPr lang="en-US"/>
        </a:p>
      </c:txPr>
    </c:legend>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Interpretation</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Sheet2!$B$38</c:f>
              <c:strCache>
                <c:ptCount val="1"/>
                <c:pt idx="0">
                  <c:v>2015</c:v>
                </c:pt>
              </c:strCache>
            </c:strRef>
          </c:tx>
          <c:spPr>
            <a:solidFill>
              <a:schemeClr val="accent1"/>
            </a:solidFill>
            <a:ln>
              <a:noFill/>
            </a:ln>
            <a:effectLst/>
          </c:spPr>
          <c:invertIfNegative val="0"/>
          <c:cat>
            <c:numRef>
              <c:f>Sheet2!$C$37:$H$37</c:f>
              <c:numCache>
                <c:formatCode>General</c:formatCode>
                <c:ptCount val="6"/>
                <c:pt idx="0">
                  <c:v>-1.0</c:v>
                </c:pt>
                <c:pt idx="1">
                  <c:v>0.0</c:v>
                </c:pt>
                <c:pt idx="2">
                  <c:v>1.0</c:v>
                </c:pt>
                <c:pt idx="3">
                  <c:v>2.0</c:v>
                </c:pt>
                <c:pt idx="4">
                  <c:v>3.0</c:v>
                </c:pt>
                <c:pt idx="5">
                  <c:v>4.0</c:v>
                </c:pt>
              </c:numCache>
            </c:numRef>
          </c:cat>
          <c:val>
            <c:numRef>
              <c:f>Sheet2!$C$38:$H$38</c:f>
              <c:numCache>
                <c:formatCode>0.00</c:formatCode>
                <c:ptCount val="6"/>
                <c:pt idx="0">
                  <c:v>0.0916666666666666</c:v>
                </c:pt>
                <c:pt idx="1">
                  <c:v>0.075</c:v>
                </c:pt>
                <c:pt idx="2">
                  <c:v>0.0833333333333333</c:v>
                </c:pt>
                <c:pt idx="3">
                  <c:v>0.175</c:v>
                </c:pt>
                <c:pt idx="4">
                  <c:v>0.325</c:v>
                </c:pt>
                <c:pt idx="5">
                  <c:v>0.25</c:v>
                </c:pt>
              </c:numCache>
            </c:numRef>
          </c:val>
        </c:ser>
        <c:ser>
          <c:idx val="1"/>
          <c:order val="1"/>
          <c:tx>
            <c:strRef>
              <c:f>Sheet2!$B$39</c:f>
              <c:strCache>
                <c:ptCount val="1"/>
                <c:pt idx="0">
                  <c:v>2016</c:v>
                </c:pt>
              </c:strCache>
            </c:strRef>
          </c:tx>
          <c:spPr>
            <a:solidFill>
              <a:schemeClr val="accent2"/>
            </a:solidFill>
            <a:ln>
              <a:noFill/>
            </a:ln>
            <a:effectLst/>
          </c:spPr>
          <c:invertIfNegative val="0"/>
          <c:cat>
            <c:numRef>
              <c:f>Sheet2!$C$37:$H$37</c:f>
              <c:numCache>
                <c:formatCode>General</c:formatCode>
                <c:ptCount val="6"/>
                <c:pt idx="0">
                  <c:v>-1.0</c:v>
                </c:pt>
                <c:pt idx="1">
                  <c:v>0.0</c:v>
                </c:pt>
                <c:pt idx="2">
                  <c:v>1.0</c:v>
                </c:pt>
                <c:pt idx="3">
                  <c:v>2.0</c:v>
                </c:pt>
                <c:pt idx="4">
                  <c:v>3.0</c:v>
                </c:pt>
                <c:pt idx="5">
                  <c:v>4.0</c:v>
                </c:pt>
              </c:numCache>
            </c:numRef>
          </c:cat>
          <c:val>
            <c:numRef>
              <c:f>Sheet2!$C$39:$H$39</c:f>
              <c:numCache>
                <c:formatCode>0.00</c:formatCode>
                <c:ptCount val="6"/>
                <c:pt idx="0">
                  <c:v>0.166666666666667</c:v>
                </c:pt>
                <c:pt idx="1">
                  <c:v>0.0416666666666667</c:v>
                </c:pt>
                <c:pt idx="2">
                  <c:v>0.25</c:v>
                </c:pt>
                <c:pt idx="3">
                  <c:v>0.166666666666667</c:v>
                </c:pt>
                <c:pt idx="4">
                  <c:v>0.291666666666667</c:v>
                </c:pt>
                <c:pt idx="5">
                  <c:v>0.0833333333333333</c:v>
                </c:pt>
              </c:numCache>
            </c:numRef>
          </c:val>
        </c:ser>
        <c:dLbls>
          <c:showLegendKey val="0"/>
          <c:showVal val="0"/>
          <c:showCatName val="0"/>
          <c:showSerName val="0"/>
          <c:showPercent val="0"/>
          <c:showBubbleSize val="0"/>
        </c:dLbls>
        <c:gapWidth val="219"/>
        <c:overlap val="-27"/>
        <c:axId val="-250558560"/>
        <c:axId val="-273511952"/>
      </c:barChart>
      <c:catAx>
        <c:axId val="-2505585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73511952"/>
        <c:crosses val="autoZero"/>
        <c:auto val="1"/>
        <c:lblAlgn val="ctr"/>
        <c:lblOffset val="100"/>
        <c:noMultiLvlLbl val="0"/>
      </c:catAx>
      <c:valAx>
        <c:axId val="-27351195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5055856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Repesentation</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Sheet2!$B$42</c:f>
              <c:strCache>
                <c:ptCount val="1"/>
                <c:pt idx="0">
                  <c:v>2015</c:v>
                </c:pt>
              </c:strCache>
            </c:strRef>
          </c:tx>
          <c:spPr>
            <a:solidFill>
              <a:schemeClr val="accent1"/>
            </a:solidFill>
            <a:ln>
              <a:noFill/>
            </a:ln>
            <a:effectLst/>
          </c:spPr>
          <c:invertIfNegative val="0"/>
          <c:cat>
            <c:numRef>
              <c:f>Sheet2!$C$41:$H$41</c:f>
              <c:numCache>
                <c:formatCode>General</c:formatCode>
                <c:ptCount val="6"/>
                <c:pt idx="0">
                  <c:v>-1.0</c:v>
                </c:pt>
                <c:pt idx="1">
                  <c:v>0.0</c:v>
                </c:pt>
                <c:pt idx="2">
                  <c:v>1.0</c:v>
                </c:pt>
                <c:pt idx="3">
                  <c:v>2.0</c:v>
                </c:pt>
                <c:pt idx="4">
                  <c:v>3.0</c:v>
                </c:pt>
                <c:pt idx="5">
                  <c:v>4.0</c:v>
                </c:pt>
              </c:numCache>
            </c:numRef>
          </c:cat>
          <c:val>
            <c:numRef>
              <c:f>Sheet2!$C$42:$H$42</c:f>
              <c:numCache>
                <c:formatCode>0.00</c:formatCode>
                <c:ptCount val="6"/>
                <c:pt idx="0">
                  <c:v>0.0275229357798165</c:v>
                </c:pt>
                <c:pt idx="1">
                  <c:v>0.0091743119266055</c:v>
                </c:pt>
                <c:pt idx="2">
                  <c:v>0.0642201834862385</c:v>
                </c:pt>
                <c:pt idx="3">
                  <c:v>0.26605504587156</c:v>
                </c:pt>
                <c:pt idx="4">
                  <c:v>0.431192660550459</c:v>
                </c:pt>
                <c:pt idx="5">
                  <c:v>0.201834862385321</c:v>
                </c:pt>
              </c:numCache>
            </c:numRef>
          </c:val>
        </c:ser>
        <c:ser>
          <c:idx val="1"/>
          <c:order val="1"/>
          <c:tx>
            <c:strRef>
              <c:f>Sheet2!$B$43</c:f>
              <c:strCache>
                <c:ptCount val="1"/>
                <c:pt idx="0">
                  <c:v>2016</c:v>
                </c:pt>
              </c:strCache>
            </c:strRef>
          </c:tx>
          <c:spPr>
            <a:solidFill>
              <a:schemeClr val="accent2"/>
            </a:solidFill>
            <a:ln>
              <a:noFill/>
            </a:ln>
            <a:effectLst/>
          </c:spPr>
          <c:invertIfNegative val="0"/>
          <c:cat>
            <c:numRef>
              <c:f>Sheet2!$C$41:$H$41</c:f>
              <c:numCache>
                <c:formatCode>General</c:formatCode>
                <c:ptCount val="6"/>
                <c:pt idx="0">
                  <c:v>-1.0</c:v>
                </c:pt>
                <c:pt idx="1">
                  <c:v>0.0</c:v>
                </c:pt>
                <c:pt idx="2">
                  <c:v>1.0</c:v>
                </c:pt>
                <c:pt idx="3">
                  <c:v>2.0</c:v>
                </c:pt>
                <c:pt idx="4">
                  <c:v>3.0</c:v>
                </c:pt>
                <c:pt idx="5">
                  <c:v>4.0</c:v>
                </c:pt>
              </c:numCache>
            </c:numRef>
          </c:cat>
          <c:val>
            <c:numRef>
              <c:f>Sheet2!$C$43:$H$43</c:f>
              <c:numCache>
                <c:formatCode>0.00</c:formatCode>
                <c:ptCount val="6"/>
                <c:pt idx="0">
                  <c:v>0.291666666666667</c:v>
                </c:pt>
                <c:pt idx="1">
                  <c:v>0.0625</c:v>
                </c:pt>
                <c:pt idx="2">
                  <c:v>0.125</c:v>
                </c:pt>
                <c:pt idx="3">
                  <c:v>0.208333333333333</c:v>
                </c:pt>
                <c:pt idx="4">
                  <c:v>0.291666666666667</c:v>
                </c:pt>
                <c:pt idx="5">
                  <c:v>0.0208333333333333</c:v>
                </c:pt>
              </c:numCache>
            </c:numRef>
          </c:val>
        </c:ser>
        <c:dLbls>
          <c:showLegendKey val="0"/>
          <c:showVal val="0"/>
          <c:showCatName val="0"/>
          <c:showSerName val="0"/>
          <c:showPercent val="0"/>
          <c:showBubbleSize val="0"/>
        </c:dLbls>
        <c:gapWidth val="219"/>
        <c:overlap val="-27"/>
        <c:axId val="-298719584"/>
        <c:axId val="-273409888"/>
      </c:barChart>
      <c:catAx>
        <c:axId val="-2987195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73409888"/>
        <c:crosses val="autoZero"/>
        <c:auto val="1"/>
        <c:lblAlgn val="ctr"/>
        <c:lblOffset val="100"/>
        <c:noMultiLvlLbl val="0"/>
      </c:catAx>
      <c:valAx>
        <c:axId val="-273409888"/>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9871958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Calculation</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Sheet2!$B$46</c:f>
              <c:strCache>
                <c:ptCount val="1"/>
                <c:pt idx="0">
                  <c:v>2015</c:v>
                </c:pt>
              </c:strCache>
            </c:strRef>
          </c:tx>
          <c:spPr>
            <a:solidFill>
              <a:schemeClr val="accent1"/>
            </a:solidFill>
            <a:ln>
              <a:noFill/>
            </a:ln>
            <a:effectLst/>
          </c:spPr>
          <c:invertIfNegative val="0"/>
          <c:cat>
            <c:numRef>
              <c:f>Sheet2!$C$45:$H$45</c:f>
              <c:numCache>
                <c:formatCode>General</c:formatCode>
                <c:ptCount val="6"/>
                <c:pt idx="0">
                  <c:v>-1.0</c:v>
                </c:pt>
                <c:pt idx="1">
                  <c:v>0.0</c:v>
                </c:pt>
                <c:pt idx="2">
                  <c:v>1.0</c:v>
                </c:pt>
                <c:pt idx="3">
                  <c:v>2.0</c:v>
                </c:pt>
                <c:pt idx="4">
                  <c:v>3.0</c:v>
                </c:pt>
                <c:pt idx="5">
                  <c:v>4.0</c:v>
                </c:pt>
              </c:numCache>
            </c:numRef>
          </c:cat>
          <c:val>
            <c:numRef>
              <c:f>Sheet2!$C$46:$H$46</c:f>
              <c:numCache>
                <c:formatCode>0.00</c:formatCode>
                <c:ptCount val="6"/>
                <c:pt idx="0">
                  <c:v>0.137614678899083</c:v>
                </c:pt>
                <c:pt idx="1">
                  <c:v>0.018348623853211</c:v>
                </c:pt>
                <c:pt idx="2">
                  <c:v>0.0275229357798165</c:v>
                </c:pt>
                <c:pt idx="3">
                  <c:v>0.238532110091743</c:v>
                </c:pt>
                <c:pt idx="4">
                  <c:v>0.339449541284404</c:v>
                </c:pt>
                <c:pt idx="5">
                  <c:v>0.238532110091743</c:v>
                </c:pt>
              </c:numCache>
            </c:numRef>
          </c:val>
        </c:ser>
        <c:ser>
          <c:idx val="1"/>
          <c:order val="1"/>
          <c:tx>
            <c:strRef>
              <c:f>Sheet2!$B$47</c:f>
              <c:strCache>
                <c:ptCount val="1"/>
                <c:pt idx="0">
                  <c:v>2016</c:v>
                </c:pt>
              </c:strCache>
            </c:strRef>
          </c:tx>
          <c:spPr>
            <a:solidFill>
              <a:schemeClr val="accent2"/>
            </a:solidFill>
            <a:ln>
              <a:noFill/>
            </a:ln>
            <a:effectLst/>
          </c:spPr>
          <c:invertIfNegative val="0"/>
          <c:cat>
            <c:numRef>
              <c:f>Sheet2!$C$45:$H$45</c:f>
              <c:numCache>
                <c:formatCode>General</c:formatCode>
                <c:ptCount val="6"/>
                <c:pt idx="0">
                  <c:v>-1.0</c:v>
                </c:pt>
                <c:pt idx="1">
                  <c:v>0.0</c:v>
                </c:pt>
                <c:pt idx="2">
                  <c:v>1.0</c:v>
                </c:pt>
                <c:pt idx="3">
                  <c:v>2.0</c:v>
                </c:pt>
                <c:pt idx="4">
                  <c:v>3.0</c:v>
                </c:pt>
                <c:pt idx="5">
                  <c:v>4.0</c:v>
                </c:pt>
              </c:numCache>
            </c:numRef>
          </c:cat>
          <c:val>
            <c:numRef>
              <c:f>Sheet2!$C$47:$H$47</c:f>
              <c:numCache>
                <c:formatCode>0.00</c:formatCode>
                <c:ptCount val="6"/>
                <c:pt idx="0">
                  <c:v>0.354166666666667</c:v>
                </c:pt>
                <c:pt idx="1">
                  <c:v>0.104166666666667</c:v>
                </c:pt>
                <c:pt idx="2">
                  <c:v>0.0625</c:v>
                </c:pt>
                <c:pt idx="3">
                  <c:v>0.125</c:v>
                </c:pt>
                <c:pt idx="4">
                  <c:v>0.270833333333333</c:v>
                </c:pt>
                <c:pt idx="5">
                  <c:v>0.0833333333333333</c:v>
                </c:pt>
              </c:numCache>
            </c:numRef>
          </c:val>
        </c:ser>
        <c:dLbls>
          <c:showLegendKey val="0"/>
          <c:showVal val="0"/>
          <c:showCatName val="0"/>
          <c:showSerName val="0"/>
          <c:showPercent val="0"/>
          <c:showBubbleSize val="0"/>
        </c:dLbls>
        <c:gapWidth val="219"/>
        <c:overlap val="-27"/>
        <c:axId val="-298887024"/>
        <c:axId val="-249547616"/>
      </c:barChart>
      <c:catAx>
        <c:axId val="-2988870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49547616"/>
        <c:crosses val="autoZero"/>
        <c:auto val="1"/>
        <c:lblAlgn val="ctr"/>
        <c:lblOffset val="100"/>
        <c:noMultiLvlLbl val="0"/>
      </c:catAx>
      <c:valAx>
        <c:axId val="-249547616"/>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9888702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Application-Analysis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Sheet2!$B$50</c:f>
              <c:strCache>
                <c:ptCount val="1"/>
                <c:pt idx="0">
                  <c:v>2015</c:v>
                </c:pt>
              </c:strCache>
            </c:strRef>
          </c:tx>
          <c:spPr>
            <a:solidFill>
              <a:schemeClr val="accent1"/>
            </a:solidFill>
            <a:ln>
              <a:noFill/>
            </a:ln>
            <a:effectLst/>
          </c:spPr>
          <c:invertIfNegative val="0"/>
          <c:cat>
            <c:numRef>
              <c:f>Sheet2!$C$49:$H$49</c:f>
              <c:numCache>
                <c:formatCode>General</c:formatCode>
                <c:ptCount val="6"/>
                <c:pt idx="0">
                  <c:v>-1.0</c:v>
                </c:pt>
                <c:pt idx="1">
                  <c:v>0.0</c:v>
                </c:pt>
                <c:pt idx="2">
                  <c:v>1.0</c:v>
                </c:pt>
                <c:pt idx="3">
                  <c:v>2.0</c:v>
                </c:pt>
                <c:pt idx="4">
                  <c:v>3.0</c:v>
                </c:pt>
                <c:pt idx="5">
                  <c:v>4.0</c:v>
                </c:pt>
              </c:numCache>
            </c:numRef>
          </c:cat>
          <c:val>
            <c:numRef>
              <c:f>Sheet2!$C$50:$H$50</c:f>
              <c:numCache>
                <c:formatCode>0.00</c:formatCode>
                <c:ptCount val="6"/>
                <c:pt idx="0">
                  <c:v>0.174311926605505</c:v>
                </c:pt>
                <c:pt idx="1">
                  <c:v>0.0275229357798165</c:v>
                </c:pt>
                <c:pt idx="2">
                  <c:v>0.137614678899083</c:v>
                </c:pt>
                <c:pt idx="3">
                  <c:v>0.18348623853211</c:v>
                </c:pt>
                <c:pt idx="4">
                  <c:v>0.36697247706422</c:v>
                </c:pt>
                <c:pt idx="5">
                  <c:v>0.110091743119266</c:v>
                </c:pt>
              </c:numCache>
            </c:numRef>
          </c:val>
        </c:ser>
        <c:ser>
          <c:idx val="1"/>
          <c:order val="1"/>
          <c:tx>
            <c:strRef>
              <c:f>Sheet2!$B$51</c:f>
              <c:strCache>
                <c:ptCount val="1"/>
                <c:pt idx="0">
                  <c:v>2016</c:v>
                </c:pt>
              </c:strCache>
            </c:strRef>
          </c:tx>
          <c:spPr>
            <a:solidFill>
              <a:schemeClr val="accent2"/>
            </a:solidFill>
            <a:ln>
              <a:noFill/>
            </a:ln>
            <a:effectLst/>
          </c:spPr>
          <c:invertIfNegative val="0"/>
          <c:cat>
            <c:numRef>
              <c:f>Sheet2!$C$49:$H$49</c:f>
              <c:numCache>
                <c:formatCode>General</c:formatCode>
                <c:ptCount val="6"/>
                <c:pt idx="0">
                  <c:v>-1.0</c:v>
                </c:pt>
                <c:pt idx="1">
                  <c:v>0.0</c:v>
                </c:pt>
                <c:pt idx="2">
                  <c:v>1.0</c:v>
                </c:pt>
                <c:pt idx="3">
                  <c:v>2.0</c:v>
                </c:pt>
                <c:pt idx="4">
                  <c:v>3.0</c:v>
                </c:pt>
                <c:pt idx="5">
                  <c:v>4.0</c:v>
                </c:pt>
              </c:numCache>
            </c:numRef>
          </c:cat>
          <c:val>
            <c:numRef>
              <c:f>Sheet2!$C$51:$H$51</c:f>
              <c:numCache>
                <c:formatCode>0.00</c:formatCode>
                <c:ptCount val="6"/>
                <c:pt idx="0">
                  <c:v>0.145833333333333</c:v>
                </c:pt>
                <c:pt idx="1">
                  <c:v>0.0416666666666667</c:v>
                </c:pt>
                <c:pt idx="2">
                  <c:v>0.25</c:v>
                </c:pt>
                <c:pt idx="3">
                  <c:v>0.333333333333333</c:v>
                </c:pt>
                <c:pt idx="4">
                  <c:v>0.208333333333333</c:v>
                </c:pt>
                <c:pt idx="5">
                  <c:v>0.0208333333333333</c:v>
                </c:pt>
              </c:numCache>
            </c:numRef>
          </c:val>
        </c:ser>
        <c:dLbls>
          <c:showLegendKey val="0"/>
          <c:showVal val="0"/>
          <c:showCatName val="0"/>
          <c:showSerName val="0"/>
          <c:showPercent val="0"/>
          <c:showBubbleSize val="0"/>
        </c:dLbls>
        <c:gapWidth val="219"/>
        <c:overlap val="-27"/>
        <c:axId val="-250390560"/>
        <c:axId val="-250386560"/>
      </c:barChart>
      <c:catAx>
        <c:axId val="-2503905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50386560"/>
        <c:crosses val="autoZero"/>
        <c:auto val="1"/>
        <c:lblAlgn val="ctr"/>
        <c:lblOffset val="100"/>
        <c:noMultiLvlLbl val="0"/>
      </c:catAx>
      <c:valAx>
        <c:axId val="-250386560"/>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5039056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Assumptions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Sheet2!$B$54</c:f>
              <c:strCache>
                <c:ptCount val="1"/>
                <c:pt idx="0">
                  <c:v>2015</c:v>
                </c:pt>
              </c:strCache>
            </c:strRef>
          </c:tx>
          <c:spPr>
            <a:solidFill>
              <a:schemeClr val="accent1"/>
            </a:solidFill>
            <a:ln>
              <a:noFill/>
            </a:ln>
            <a:effectLst/>
          </c:spPr>
          <c:invertIfNegative val="0"/>
          <c:cat>
            <c:numRef>
              <c:f>Sheet2!$C$53:$H$53</c:f>
              <c:numCache>
                <c:formatCode>General</c:formatCode>
                <c:ptCount val="6"/>
                <c:pt idx="0">
                  <c:v>-1.0</c:v>
                </c:pt>
                <c:pt idx="1">
                  <c:v>0.0</c:v>
                </c:pt>
                <c:pt idx="2">
                  <c:v>1.0</c:v>
                </c:pt>
                <c:pt idx="3">
                  <c:v>2.0</c:v>
                </c:pt>
                <c:pt idx="4">
                  <c:v>3.0</c:v>
                </c:pt>
                <c:pt idx="5">
                  <c:v>4.0</c:v>
                </c:pt>
              </c:numCache>
            </c:numRef>
          </c:cat>
          <c:val>
            <c:numRef>
              <c:f>Sheet2!$C$54:$H$54</c:f>
              <c:numCache>
                <c:formatCode>0.00</c:formatCode>
                <c:ptCount val="6"/>
                <c:pt idx="0">
                  <c:v>0.376146788990826</c:v>
                </c:pt>
                <c:pt idx="1">
                  <c:v>0.055045871559633</c:v>
                </c:pt>
                <c:pt idx="2">
                  <c:v>0.110091743119266</c:v>
                </c:pt>
                <c:pt idx="3">
                  <c:v>0.247706422018349</c:v>
                </c:pt>
                <c:pt idx="4">
                  <c:v>0.128440366972477</c:v>
                </c:pt>
                <c:pt idx="5">
                  <c:v>0.0825688073394495</c:v>
                </c:pt>
              </c:numCache>
            </c:numRef>
          </c:val>
        </c:ser>
        <c:ser>
          <c:idx val="1"/>
          <c:order val="1"/>
          <c:tx>
            <c:strRef>
              <c:f>Sheet2!$B$55</c:f>
              <c:strCache>
                <c:ptCount val="1"/>
                <c:pt idx="0">
                  <c:v>2016</c:v>
                </c:pt>
              </c:strCache>
            </c:strRef>
          </c:tx>
          <c:spPr>
            <a:solidFill>
              <a:schemeClr val="accent2"/>
            </a:solidFill>
            <a:ln>
              <a:noFill/>
            </a:ln>
            <a:effectLst/>
          </c:spPr>
          <c:invertIfNegative val="0"/>
          <c:cat>
            <c:numRef>
              <c:f>Sheet2!$C$53:$H$53</c:f>
              <c:numCache>
                <c:formatCode>General</c:formatCode>
                <c:ptCount val="6"/>
                <c:pt idx="0">
                  <c:v>-1.0</c:v>
                </c:pt>
                <c:pt idx="1">
                  <c:v>0.0</c:v>
                </c:pt>
                <c:pt idx="2">
                  <c:v>1.0</c:v>
                </c:pt>
                <c:pt idx="3">
                  <c:v>2.0</c:v>
                </c:pt>
                <c:pt idx="4">
                  <c:v>3.0</c:v>
                </c:pt>
                <c:pt idx="5">
                  <c:v>4.0</c:v>
                </c:pt>
              </c:numCache>
            </c:numRef>
          </c:cat>
          <c:val>
            <c:numRef>
              <c:f>Sheet2!$C$55:$H$55</c:f>
              <c:numCache>
                <c:formatCode>0.00</c:formatCode>
                <c:ptCount val="6"/>
                <c:pt idx="0">
                  <c:v>0.291666666666667</c:v>
                </c:pt>
                <c:pt idx="1">
                  <c:v>0.125</c:v>
                </c:pt>
                <c:pt idx="2">
                  <c:v>0.166666666666667</c:v>
                </c:pt>
                <c:pt idx="3">
                  <c:v>0.333333333333333</c:v>
                </c:pt>
                <c:pt idx="4">
                  <c:v>0.0625</c:v>
                </c:pt>
                <c:pt idx="5">
                  <c:v>0.0208333333333333</c:v>
                </c:pt>
              </c:numCache>
            </c:numRef>
          </c:val>
        </c:ser>
        <c:dLbls>
          <c:showLegendKey val="0"/>
          <c:showVal val="0"/>
          <c:showCatName val="0"/>
          <c:showSerName val="0"/>
          <c:showPercent val="0"/>
          <c:showBubbleSize val="0"/>
        </c:dLbls>
        <c:gapWidth val="219"/>
        <c:overlap val="-27"/>
        <c:axId val="-250342000"/>
        <c:axId val="-250338000"/>
      </c:barChart>
      <c:catAx>
        <c:axId val="-2503420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50338000"/>
        <c:crosses val="autoZero"/>
        <c:auto val="1"/>
        <c:lblAlgn val="ctr"/>
        <c:lblOffset val="100"/>
        <c:noMultiLvlLbl val="0"/>
      </c:catAx>
      <c:valAx>
        <c:axId val="-250338000"/>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5034200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
    <a:dk1>
      <a:srgbClr val="000000"/>
    </a:dk1>
    <a:lt1>
      <a:srgbClr val="FFFFFF"/>
    </a:lt1>
    <a:dk2>
      <a:srgbClr val="000000"/>
    </a:dk2>
    <a:lt2>
      <a:srgbClr val="000000"/>
    </a:lt2>
    <a:accent1>
      <a:srgbClr val="BBE0E3"/>
    </a:accent1>
    <a:accent2>
      <a:srgbClr val="333399"/>
    </a:accent2>
    <a:accent3>
      <a:srgbClr val="AAAAAA"/>
    </a:accent3>
    <a:accent4>
      <a:srgbClr val="DADADA"/>
    </a:accent4>
    <a:accent5>
      <a:srgbClr val="DAEDEF"/>
    </a:accent5>
    <a:accent6>
      <a:srgbClr val="2D2D8A"/>
    </a:accent6>
    <a:hlink>
      <a:srgbClr val="009999"/>
    </a:hlink>
    <a:folHlink>
      <a:srgbClr val="99CC00"/>
    </a:folHlink>
  </a:clrScheme>
  <a:fontScheme name="Title &amp; Subtitle">
    <a:majorFont>
      <a:latin typeface="Gill Sans"/>
      <a:ea typeface="ヒラギノ角ゴ ProN W3"/>
      <a:cs typeface="ヒラギノ角ゴ ProN W3"/>
    </a:majorFont>
    <a:minorFont>
      <a:latin typeface="Gill Sans"/>
      <a:ea typeface="ヒラギノ角ゴ ProN W3"/>
      <a:cs typeface="ヒラギノ角ゴ ProN W3"/>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
    <a:dk1>
      <a:srgbClr val="000000"/>
    </a:dk1>
    <a:lt1>
      <a:srgbClr val="FFFFFF"/>
    </a:lt1>
    <a:dk2>
      <a:srgbClr val="000000"/>
    </a:dk2>
    <a:lt2>
      <a:srgbClr val="000000"/>
    </a:lt2>
    <a:accent1>
      <a:srgbClr val="BBE0E3"/>
    </a:accent1>
    <a:accent2>
      <a:srgbClr val="333399"/>
    </a:accent2>
    <a:accent3>
      <a:srgbClr val="AAAAAA"/>
    </a:accent3>
    <a:accent4>
      <a:srgbClr val="DADADA"/>
    </a:accent4>
    <a:accent5>
      <a:srgbClr val="DAEDEF"/>
    </a:accent5>
    <a:accent6>
      <a:srgbClr val="2D2D8A"/>
    </a:accent6>
    <a:hlink>
      <a:srgbClr val="009999"/>
    </a:hlink>
    <a:folHlink>
      <a:srgbClr val="99CC00"/>
    </a:folHlink>
  </a:clrScheme>
  <a:fontScheme name="Title &amp; Subtitle">
    <a:majorFont>
      <a:latin typeface="Gill Sans"/>
      <a:ea typeface="ヒラギノ角ゴ ProN W3"/>
      <a:cs typeface="ヒラギノ角ゴ ProN W3"/>
    </a:majorFont>
    <a:minorFont>
      <a:latin typeface="Gill Sans"/>
      <a:ea typeface="ヒラギノ角ゴ ProN W3"/>
      <a:cs typeface="ヒラギノ角ゴ ProN W3"/>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
    <a:dk1>
      <a:srgbClr val="000000"/>
    </a:dk1>
    <a:lt1>
      <a:srgbClr val="FFFFFF"/>
    </a:lt1>
    <a:dk2>
      <a:srgbClr val="000000"/>
    </a:dk2>
    <a:lt2>
      <a:srgbClr val="000000"/>
    </a:lt2>
    <a:accent1>
      <a:srgbClr val="BBE0E3"/>
    </a:accent1>
    <a:accent2>
      <a:srgbClr val="333399"/>
    </a:accent2>
    <a:accent3>
      <a:srgbClr val="AAAAAA"/>
    </a:accent3>
    <a:accent4>
      <a:srgbClr val="DADADA"/>
    </a:accent4>
    <a:accent5>
      <a:srgbClr val="DAEDEF"/>
    </a:accent5>
    <a:accent6>
      <a:srgbClr val="2D2D8A"/>
    </a:accent6>
    <a:hlink>
      <a:srgbClr val="009999"/>
    </a:hlink>
    <a:folHlink>
      <a:srgbClr val="99CC00"/>
    </a:folHlink>
  </a:clrScheme>
  <a:fontScheme name="Title &amp; Subtitle">
    <a:majorFont>
      <a:latin typeface="Gill Sans"/>
      <a:ea typeface="ヒラギノ角ゴ ProN W3"/>
      <a:cs typeface="ヒラギノ角ゴ ProN W3"/>
    </a:majorFont>
    <a:minorFont>
      <a:latin typeface="Gill Sans"/>
      <a:ea typeface="ヒラギノ角ゴ ProN W3"/>
      <a:cs typeface="ヒラギノ角ゴ ProN W3"/>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
    <a:dk1>
      <a:srgbClr val="000000"/>
    </a:dk1>
    <a:lt1>
      <a:srgbClr val="FFFFFF"/>
    </a:lt1>
    <a:dk2>
      <a:srgbClr val="000000"/>
    </a:dk2>
    <a:lt2>
      <a:srgbClr val="000000"/>
    </a:lt2>
    <a:accent1>
      <a:srgbClr val="BBE0E3"/>
    </a:accent1>
    <a:accent2>
      <a:srgbClr val="333399"/>
    </a:accent2>
    <a:accent3>
      <a:srgbClr val="AAAAAA"/>
    </a:accent3>
    <a:accent4>
      <a:srgbClr val="DADADA"/>
    </a:accent4>
    <a:accent5>
      <a:srgbClr val="DAEDEF"/>
    </a:accent5>
    <a:accent6>
      <a:srgbClr val="2D2D8A"/>
    </a:accent6>
    <a:hlink>
      <a:srgbClr val="009999"/>
    </a:hlink>
    <a:folHlink>
      <a:srgbClr val="99CC00"/>
    </a:folHlink>
  </a:clrScheme>
  <a:fontScheme name="Title &amp; Subtitle">
    <a:majorFont>
      <a:latin typeface="Gill Sans"/>
      <a:ea typeface="ヒラギノ角ゴ ProN W3"/>
      <a:cs typeface="ヒラギノ角ゴ ProN W3"/>
    </a:majorFont>
    <a:minorFont>
      <a:latin typeface="Gill Sans"/>
      <a:ea typeface="ヒラギノ角ゴ ProN W3"/>
      <a:cs typeface="ヒラギノ角ゴ ProN W3"/>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
    <a:dk1>
      <a:srgbClr val="000000"/>
    </a:dk1>
    <a:lt1>
      <a:srgbClr val="FFFFFF"/>
    </a:lt1>
    <a:dk2>
      <a:srgbClr val="000000"/>
    </a:dk2>
    <a:lt2>
      <a:srgbClr val="000000"/>
    </a:lt2>
    <a:accent1>
      <a:srgbClr val="BBE0E3"/>
    </a:accent1>
    <a:accent2>
      <a:srgbClr val="333399"/>
    </a:accent2>
    <a:accent3>
      <a:srgbClr val="AAAAAA"/>
    </a:accent3>
    <a:accent4>
      <a:srgbClr val="DADADA"/>
    </a:accent4>
    <a:accent5>
      <a:srgbClr val="DAEDEF"/>
    </a:accent5>
    <a:accent6>
      <a:srgbClr val="2D2D8A"/>
    </a:accent6>
    <a:hlink>
      <a:srgbClr val="009999"/>
    </a:hlink>
    <a:folHlink>
      <a:srgbClr val="99CC00"/>
    </a:folHlink>
  </a:clrScheme>
  <a:fontScheme name="Title &amp; Subtitle">
    <a:majorFont>
      <a:latin typeface="Gill Sans"/>
      <a:ea typeface="ヒラギノ角ゴ ProN W3"/>
      <a:cs typeface="ヒラギノ角ゴ ProN W3"/>
    </a:majorFont>
    <a:minorFont>
      <a:latin typeface="Gill Sans"/>
      <a:ea typeface="ヒラギノ角ゴ ProN W3"/>
      <a:cs typeface="ヒラギノ角ゴ ProN W3"/>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
    <a:dk1>
      <a:srgbClr val="000000"/>
    </a:dk1>
    <a:lt1>
      <a:srgbClr val="FFFFFF"/>
    </a:lt1>
    <a:dk2>
      <a:srgbClr val="000000"/>
    </a:dk2>
    <a:lt2>
      <a:srgbClr val="000000"/>
    </a:lt2>
    <a:accent1>
      <a:srgbClr val="BBE0E3"/>
    </a:accent1>
    <a:accent2>
      <a:srgbClr val="333399"/>
    </a:accent2>
    <a:accent3>
      <a:srgbClr val="AAAAAA"/>
    </a:accent3>
    <a:accent4>
      <a:srgbClr val="DADADA"/>
    </a:accent4>
    <a:accent5>
      <a:srgbClr val="DAEDEF"/>
    </a:accent5>
    <a:accent6>
      <a:srgbClr val="2D2D8A"/>
    </a:accent6>
    <a:hlink>
      <a:srgbClr val="009999"/>
    </a:hlink>
    <a:folHlink>
      <a:srgbClr val="99CC00"/>
    </a:folHlink>
  </a:clrScheme>
  <a:fontScheme name="Title &amp; Subtitle">
    <a:majorFont>
      <a:latin typeface="Gill Sans"/>
      <a:ea typeface="ヒラギノ角ゴ ProN W3"/>
      <a:cs typeface="ヒラギノ角ゴ ProN W3"/>
    </a:majorFont>
    <a:minorFont>
      <a:latin typeface="Gill Sans"/>
      <a:ea typeface="ヒラギノ角ゴ ProN W3"/>
      <a:cs typeface="ヒラギノ角ゴ ProN W3"/>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10</TotalTime>
  <Pages>9</Pages>
  <Words>1590</Words>
  <Characters>9063</Characters>
  <Application>Microsoft Macintosh Word</Application>
  <DocSecurity>0</DocSecurity>
  <Lines>75</Lines>
  <Paragraphs>21</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General Education Learning Outcomes Assessment</vt:lpstr>
      <vt:lpstr>Intercultural Knowledge and Competence &amp; Quantitative Literacy</vt:lpstr>
      <vt:lpstr>Spring 2016</vt:lpstr>
    </vt:vector>
  </TitlesOfParts>
  <Company>University of Utah</Company>
  <LinksUpToDate>false</LinksUpToDate>
  <CharactersWithSpaces>10632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Edward StAndre</dc:creator>
  <cp:keywords/>
  <dc:description/>
  <cp:lastModifiedBy>Microsoft Office User</cp:lastModifiedBy>
  <cp:revision>3</cp:revision>
  <dcterms:created xsi:type="dcterms:W3CDTF">2016-06-21T17:53:00Z</dcterms:created>
  <dcterms:modified xsi:type="dcterms:W3CDTF">2017-01-17T20:49:00Z</dcterms:modified>
</cp:coreProperties>
</file>