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2521FE" w14:textId="77777777" w:rsidR="002740C5" w:rsidRPr="003D0A98" w:rsidRDefault="002740C5" w:rsidP="002740C5">
      <w:pPr>
        <w:rPr>
          <w:b/>
          <w:u w:val="single"/>
        </w:rPr>
      </w:pPr>
      <w:bookmarkStart w:id="0" w:name="_GoBack"/>
      <w:bookmarkEnd w:id="0"/>
      <w:r>
        <w:rPr>
          <w:b/>
          <w:u w:val="single"/>
        </w:rPr>
        <w:t>N</w:t>
      </w:r>
      <w:r w:rsidRPr="003D0A98">
        <w:rPr>
          <w:b/>
          <w:u w:val="single"/>
        </w:rPr>
        <w:t>ational Student Exchange</w:t>
      </w:r>
      <w:r>
        <w:rPr>
          <w:b/>
          <w:u w:val="single"/>
        </w:rPr>
        <w:t xml:space="preserve"> (NSE)</w:t>
      </w:r>
      <w:r w:rsidRPr="003D0A98">
        <w:rPr>
          <w:b/>
          <w:u w:val="single"/>
        </w:rPr>
        <w:t>:</w:t>
      </w:r>
    </w:p>
    <w:p w14:paraId="4596048F" w14:textId="77777777" w:rsidR="002740C5" w:rsidRDefault="002740C5" w:rsidP="002740C5"/>
    <w:p w14:paraId="2739C262" w14:textId="77777777" w:rsidR="002740C5" w:rsidRDefault="002740C5" w:rsidP="002740C5">
      <w:r>
        <w:t>The National Student Exchange (NSE) is a non-profit, educational consortium that allows eligible students to study away, through tuition exchange, at any of about 160 participating institutions in the U.S. and Canada. NSE was founded in 1968, and the University of Utah has been a member since 1974. Our participation in the NSE program is fully funded through application fees paid by the students. It is an effective and consistently utilized vehicle for giving our students the opportunity to study at another campus for a semester or entire academic year, and for allowing students at other campuses to similarly experience our institution.</w:t>
      </w:r>
    </w:p>
    <w:p w14:paraId="6DE2FAAC" w14:textId="77777777" w:rsidR="002740C5" w:rsidRDefault="002740C5" w:rsidP="002740C5">
      <w:pPr>
        <w:jc w:val="center"/>
      </w:pPr>
    </w:p>
    <w:tbl>
      <w:tblPr>
        <w:tblStyle w:val="TableGridLight"/>
        <w:tblW w:w="0" w:type="auto"/>
        <w:tblInd w:w="535" w:type="dxa"/>
        <w:tblLook w:val="04A0" w:firstRow="1" w:lastRow="0" w:firstColumn="1" w:lastColumn="0" w:noHBand="0" w:noVBand="1"/>
      </w:tblPr>
      <w:tblGrid>
        <w:gridCol w:w="4050"/>
        <w:gridCol w:w="1080"/>
        <w:gridCol w:w="1620"/>
        <w:gridCol w:w="1296"/>
      </w:tblGrid>
      <w:tr w:rsidR="002740C5" w14:paraId="436ADCD8" w14:textId="77777777" w:rsidTr="00294A84">
        <w:tc>
          <w:tcPr>
            <w:tcW w:w="4050" w:type="dxa"/>
          </w:tcPr>
          <w:p w14:paraId="37B786DB" w14:textId="77777777" w:rsidR="002740C5" w:rsidRDefault="002740C5" w:rsidP="00294A84"/>
        </w:tc>
        <w:tc>
          <w:tcPr>
            <w:tcW w:w="1080" w:type="dxa"/>
          </w:tcPr>
          <w:p w14:paraId="16BD4877" w14:textId="77777777" w:rsidR="002740C5" w:rsidRDefault="002740C5" w:rsidP="00294A84">
            <w:r>
              <w:t>2016-17</w:t>
            </w:r>
          </w:p>
        </w:tc>
        <w:tc>
          <w:tcPr>
            <w:tcW w:w="1620" w:type="dxa"/>
          </w:tcPr>
          <w:p w14:paraId="7691CCF3" w14:textId="77777777" w:rsidR="002740C5" w:rsidRDefault="002740C5" w:rsidP="00294A84">
            <w:r>
              <w:t xml:space="preserve">2015-16 </w:t>
            </w:r>
          </w:p>
        </w:tc>
        <w:tc>
          <w:tcPr>
            <w:tcW w:w="1296" w:type="dxa"/>
          </w:tcPr>
          <w:p w14:paraId="527090AB" w14:textId="77777777" w:rsidR="002740C5" w:rsidRDefault="002740C5" w:rsidP="00294A84">
            <w:r>
              <w:t>2014-15</w:t>
            </w:r>
          </w:p>
        </w:tc>
      </w:tr>
      <w:tr w:rsidR="002740C5" w14:paraId="3A321A90" w14:textId="77777777" w:rsidTr="00294A84">
        <w:tc>
          <w:tcPr>
            <w:tcW w:w="4050" w:type="dxa"/>
          </w:tcPr>
          <w:p w14:paraId="75A71372" w14:textId="77777777" w:rsidR="002740C5" w:rsidRDefault="002740C5" w:rsidP="00294A84"/>
          <w:p w14:paraId="25A1F979" w14:textId="77777777" w:rsidR="002740C5" w:rsidRDefault="002740C5" w:rsidP="00294A84">
            <w:r>
              <w:t xml:space="preserve">Outgoing Students Applied/Placed </w:t>
            </w:r>
          </w:p>
          <w:p w14:paraId="51EC5093" w14:textId="77777777" w:rsidR="002740C5" w:rsidRDefault="002740C5" w:rsidP="00294A84"/>
        </w:tc>
        <w:tc>
          <w:tcPr>
            <w:tcW w:w="1080" w:type="dxa"/>
          </w:tcPr>
          <w:p w14:paraId="71DC0B63" w14:textId="77777777" w:rsidR="002740C5" w:rsidRDefault="002740C5" w:rsidP="00294A84"/>
          <w:p w14:paraId="21ADDC10" w14:textId="77777777" w:rsidR="002740C5" w:rsidRDefault="002740C5" w:rsidP="00294A84">
            <w:r>
              <w:t>10/10</w:t>
            </w:r>
          </w:p>
        </w:tc>
        <w:tc>
          <w:tcPr>
            <w:tcW w:w="1620" w:type="dxa"/>
          </w:tcPr>
          <w:p w14:paraId="25E01879" w14:textId="77777777" w:rsidR="002740C5" w:rsidRDefault="002740C5" w:rsidP="00294A84"/>
          <w:p w14:paraId="21179873" w14:textId="77777777" w:rsidR="002740C5" w:rsidRDefault="002740C5" w:rsidP="00294A84">
            <w:r>
              <w:t xml:space="preserve">10/10 </w:t>
            </w:r>
          </w:p>
          <w:p w14:paraId="214039FD" w14:textId="77777777" w:rsidR="002740C5" w:rsidRDefault="002740C5" w:rsidP="00294A84"/>
        </w:tc>
        <w:tc>
          <w:tcPr>
            <w:tcW w:w="1296" w:type="dxa"/>
          </w:tcPr>
          <w:p w14:paraId="37FD59F4" w14:textId="77777777" w:rsidR="002740C5" w:rsidRDefault="002740C5" w:rsidP="00294A84"/>
          <w:p w14:paraId="0D70C494" w14:textId="77777777" w:rsidR="002740C5" w:rsidRDefault="002740C5" w:rsidP="00294A84">
            <w:r>
              <w:t>10/10</w:t>
            </w:r>
          </w:p>
        </w:tc>
      </w:tr>
      <w:tr w:rsidR="002740C5" w14:paraId="1FF68603" w14:textId="77777777" w:rsidTr="00294A84">
        <w:tc>
          <w:tcPr>
            <w:tcW w:w="4050" w:type="dxa"/>
          </w:tcPr>
          <w:p w14:paraId="2F31D404" w14:textId="77777777" w:rsidR="002740C5" w:rsidRDefault="002740C5" w:rsidP="00294A84">
            <w:r>
              <w:t>Incoming Students Applied/Accepted</w:t>
            </w:r>
          </w:p>
        </w:tc>
        <w:tc>
          <w:tcPr>
            <w:tcW w:w="1080" w:type="dxa"/>
          </w:tcPr>
          <w:p w14:paraId="259F5ECB" w14:textId="77777777" w:rsidR="002740C5" w:rsidRDefault="002740C5" w:rsidP="00294A84">
            <w:r>
              <w:t>17</w:t>
            </w:r>
          </w:p>
        </w:tc>
        <w:tc>
          <w:tcPr>
            <w:tcW w:w="1620" w:type="dxa"/>
          </w:tcPr>
          <w:p w14:paraId="6E045434" w14:textId="77777777" w:rsidR="002740C5" w:rsidRDefault="002740C5" w:rsidP="00294A84">
            <w:r>
              <w:t>13</w:t>
            </w:r>
          </w:p>
        </w:tc>
        <w:tc>
          <w:tcPr>
            <w:tcW w:w="1296" w:type="dxa"/>
          </w:tcPr>
          <w:p w14:paraId="371F5384" w14:textId="77777777" w:rsidR="002740C5" w:rsidRDefault="002740C5" w:rsidP="00294A84">
            <w:r>
              <w:t>20</w:t>
            </w:r>
          </w:p>
          <w:p w14:paraId="47D3B5E9" w14:textId="77777777" w:rsidR="002740C5" w:rsidRDefault="002740C5" w:rsidP="00294A84"/>
        </w:tc>
      </w:tr>
    </w:tbl>
    <w:p w14:paraId="4F7FD6D0" w14:textId="77777777" w:rsidR="002740C5" w:rsidRDefault="002740C5" w:rsidP="002740C5"/>
    <w:p w14:paraId="7660CC77" w14:textId="77777777" w:rsidR="002740C5" w:rsidRDefault="002740C5" w:rsidP="002740C5">
      <w:r>
        <w:t>There do not seem to be any clear avenues, nor are there any particular enrollment management goals, for effecting the number and makeup of students from other NSE schools who want to come study at the University of Utah for a semester or full academic year.  One avenue for increasing participation that has recently come to light is working with targeted student groups, like the Black Student Union: a group of students associated with the Union have recently expressed interest in spending time at a HBCU, several of which are members of the NSE consortium.  For 2017-18, we should continue efforts to work more closely with the Office for Equity and Diversity for leveraging this and other similar opportunities.</w:t>
      </w:r>
    </w:p>
    <w:p w14:paraId="7A90E870" w14:textId="77777777" w:rsidR="002740C5" w:rsidRDefault="002740C5" w:rsidP="002740C5">
      <w:r>
        <w:t xml:space="preserve">  </w:t>
      </w:r>
    </w:p>
    <w:p w14:paraId="24321098" w14:textId="77777777" w:rsidR="002740C5" w:rsidRDefault="002740C5" w:rsidP="002740C5"/>
    <w:p w14:paraId="2FB34D18" w14:textId="77777777" w:rsidR="00C02054" w:rsidRDefault="00C02054"/>
    <w:sectPr w:rsidR="00C02054" w:rsidSect="00F23AD1">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CADB09" w14:textId="77777777" w:rsidR="008007A5" w:rsidRDefault="008007A5">
      <w:r>
        <w:separator/>
      </w:r>
    </w:p>
  </w:endnote>
  <w:endnote w:type="continuationSeparator" w:id="0">
    <w:p w14:paraId="3447EEC9" w14:textId="77777777" w:rsidR="008007A5" w:rsidRDefault="00800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88E697" w14:textId="77777777" w:rsidR="003B0F8E" w:rsidRDefault="008007A5">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E18A27" w14:textId="77777777" w:rsidR="008007A5" w:rsidRDefault="008007A5">
      <w:r>
        <w:separator/>
      </w:r>
    </w:p>
  </w:footnote>
  <w:footnote w:type="continuationSeparator" w:id="0">
    <w:p w14:paraId="69F80076" w14:textId="77777777" w:rsidR="008007A5" w:rsidRDefault="008007A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0F0B36" w14:textId="77777777" w:rsidR="00685259" w:rsidRDefault="002740C5">
    <w:pPr>
      <w:pStyle w:val="Header"/>
      <w:jc w:val="center"/>
    </w:pPr>
    <w:r>
      <w:rPr>
        <w:noProof/>
      </w:rPr>
      <mc:AlternateContent>
        <mc:Choice Requires="wps">
          <w:drawing>
            <wp:anchor distT="0" distB="0" distL="118745" distR="118745" simplePos="0" relativeHeight="251659264" behindDoc="1" locked="0" layoutInCell="1" allowOverlap="0" wp14:anchorId="7259E380" wp14:editId="7D79A7B9">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43600" cy="279400"/>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43600" cy="2794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showingPlcHdr/>
                            <w:dataBinding w:prefixMappings="xmlns:ns0='http://purl.org/dc/elements/1.1/' xmlns:ns1='http://schemas.openxmlformats.org/package/2006/metadata/core-properties' " w:xpath="/ns1:coreProperties[1]/ns0:title[1]" w:storeItemID="{6C3C8BC8-F283-45AE-878A-BAB7291924A1}"/>
                            <w:text/>
                          </w:sdtPr>
                          <w:sdtEndPr/>
                          <w:sdtContent>
                            <w:p w14:paraId="3F2458B9" w14:textId="77777777" w:rsidR="00F87998" w:rsidRDefault="002740C5">
                              <w:pPr>
                                <w:pStyle w:val="Header"/>
                                <w:jc w:val="center"/>
                                <w:rPr>
                                  <w:caps/>
                                  <w:color w:val="FFFFFF" w:themeColor="background1"/>
                                </w:rPr>
                              </w:pPr>
                              <w:r>
                                <w:rPr>
                                  <w:caps/>
                                  <w:color w:val="FFFFFF" w:themeColor="background1"/>
                                </w:rPr>
                                <w:t xml:space="preserve">     </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7259E380" id="Rectangle 197" o:spid="_x0000_s1026" style="position:absolute;left:0;text-align:left;margin-left:0;margin-top:0;width:468pt;height:22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" o:allowoverlap="f" fillcolor="#4472c4 [3204]" stroked="f" strokeweight="1pt">
              <v:textbox style="mso-fit-shape-to-text:t">
                <w:txbxContent>
                  <w:sdt>
                    <w:sdtPr>
                      <w:rPr>
                        <w:caps/>
                        <w:color w:val="FFFFFF" w:themeColor="background1"/>
                      </w:rPr>
                      <w:alias w:val="Title"/>
                      <w:tag w:val=""/>
                      <w:id w:val="1189017394"/>
                      <w:showingPlcHdr/>
                      <w:dataBinding w:prefixMappings="xmlns:ns0='http://purl.org/dc/elements/1.1/' xmlns:ns1='http://schemas.openxmlformats.org/package/2006/metadata/core-properties' " w:xpath="/ns1:coreProperties[1]/ns0:title[1]" w:storeItemID="{6C3C8BC8-F283-45AE-878A-BAB7291924A1}"/>
                      <w:text/>
                    </w:sdtPr>
                    <w:sdtEndPr/>
                    <w:sdtContent>
                      <w:p w14:paraId="3F2458B9" w14:textId="77777777" w:rsidR="00F87998" w:rsidRDefault="002740C5">
                        <w:pPr>
                          <w:pStyle w:val="Header"/>
                          <w:jc w:val="center"/>
                          <w:rPr>
                            <w:caps/>
                            <w:color w:val="FFFFFF" w:themeColor="background1"/>
                          </w:rPr>
                        </w:pPr>
                        <w:r>
                          <w:rPr>
                            <w:caps/>
                            <w:color w:val="FFFFFF" w:themeColor="background1"/>
                          </w:rPr>
                          <w:t xml:space="preserve">     </w:t>
                        </w:r>
                      </w:p>
                    </w:sdtContent>
                  </w:sdt>
                </w:txbxContent>
              </v:textbox>
              <w10:wrap type="square" anchorx="margin"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0C5"/>
    <w:rsid w:val="002740C5"/>
    <w:rsid w:val="002E05F4"/>
    <w:rsid w:val="003D4339"/>
    <w:rsid w:val="005123BF"/>
    <w:rsid w:val="005638FA"/>
    <w:rsid w:val="008007A5"/>
    <w:rsid w:val="00C0205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331DFE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740C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740C5"/>
    <w:pPr>
      <w:tabs>
        <w:tab w:val="center" w:pos="4320"/>
        <w:tab w:val="right" w:pos="8640"/>
      </w:tabs>
    </w:pPr>
  </w:style>
  <w:style w:type="character" w:customStyle="1" w:styleId="HeaderChar">
    <w:name w:val="Header Char"/>
    <w:basedOn w:val="DefaultParagraphFont"/>
    <w:link w:val="Header"/>
    <w:uiPriority w:val="99"/>
    <w:rsid w:val="002740C5"/>
    <w:rPr>
      <w:rFonts w:ascii="Times New Roman" w:eastAsia="Times New Roman" w:hAnsi="Times New Roman" w:cs="Times New Roman"/>
    </w:rPr>
  </w:style>
  <w:style w:type="paragraph" w:styleId="Footer">
    <w:name w:val="footer"/>
    <w:basedOn w:val="Normal"/>
    <w:link w:val="FooterChar"/>
    <w:rsid w:val="002740C5"/>
    <w:pPr>
      <w:tabs>
        <w:tab w:val="center" w:pos="4320"/>
        <w:tab w:val="right" w:pos="8640"/>
      </w:tabs>
    </w:pPr>
  </w:style>
  <w:style w:type="character" w:customStyle="1" w:styleId="FooterChar">
    <w:name w:val="Footer Char"/>
    <w:basedOn w:val="DefaultParagraphFont"/>
    <w:link w:val="Footer"/>
    <w:rsid w:val="002740C5"/>
    <w:rPr>
      <w:rFonts w:ascii="Times New Roman" w:eastAsia="Times New Roman" w:hAnsi="Times New Roman" w:cs="Times New Roman"/>
    </w:rPr>
  </w:style>
  <w:style w:type="table" w:styleId="TableGridLight">
    <w:name w:val="Grid Table Light"/>
    <w:basedOn w:val="TableNormal"/>
    <w:uiPriority w:val="40"/>
    <w:rsid w:val="002740C5"/>
    <w:rPr>
      <w:sz w:val="22"/>
      <w:szCs w:val="22"/>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243</Words>
  <Characters>1294</Characters>
  <Application>Microsoft Macintosh Word</Application>
  <DocSecurity>0</DocSecurity>
  <Lines>41</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2017-06-28T21:04:00Z</dcterms:created>
  <dcterms:modified xsi:type="dcterms:W3CDTF">2017-06-28T21:07:00Z</dcterms:modified>
</cp:coreProperties>
</file>